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98D9F" w14:textId="1B21E6D6" w:rsidR="003D73E5" w:rsidRPr="00FC77A8" w:rsidRDefault="003D73E5" w:rsidP="003D73E5">
      <w:pPr>
        <w:pStyle w:val="3GPPHeader"/>
        <w:spacing w:after="60"/>
        <w:rPr>
          <w:sz w:val="32"/>
          <w:szCs w:val="32"/>
          <w:highlight w:val="yellow"/>
          <w:lang w:val="en-US"/>
        </w:rPr>
      </w:pPr>
      <w:r w:rsidRPr="00FC77A8">
        <w:rPr>
          <w:lang w:val="en-US"/>
        </w:rPr>
        <w:t>3GPP TSG-RAN WG2 #1</w:t>
      </w:r>
      <w:r w:rsidR="007F7B97" w:rsidRPr="00FC77A8">
        <w:rPr>
          <w:lang w:val="en-US"/>
        </w:rPr>
        <w:t>2</w:t>
      </w:r>
      <w:r w:rsidR="00167BFE" w:rsidRPr="00FC77A8">
        <w:rPr>
          <w:lang w:val="en-US"/>
        </w:rPr>
        <w:t>1</w:t>
      </w:r>
      <w:r w:rsidRPr="00FC77A8">
        <w:rPr>
          <w:lang w:val="en-US"/>
        </w:rPr>
        <w:tab/>
      </w:r>
      <w:r w:rsidR="00F160F9" w:rsidRPr="00F160F9">
        <w:rPr>
          <w:sz w:val="32"/>
          <w:szCs w:val="32"/>
          <w:lang w:val="en-US"/>
        </w:rPr>
        <w:t>R2-230130</w:t>
      </w:r>
      <w:r w:rsidR="00F160F9">
        <w:rPr>
          <w:sz w:val="32"/>
          <w:szCs w:val="32"/>
          <w:lang w:val="en-US"/>
        </w:rPr>
        <w:t>2</w:t>
      </w:r>
    </w:p>
    <w:p w14:paraId="335AC389" w14:textId="49204D70" w:rsidR="003D73E5" w:rsidRPr="00CE0424" w:rsidRDefault="00167BFE" w:rsidP="003D73E5">
      <w:pPr>
        <w:pStyle w:val="3GPPHeader"/>
      </w:pPr>
      <w:r>
        <w:t>Athens</w:t>
      </w:r>
      <w:r w:rsidR="007F7B97">
        <w:t xml:space="preserve">, </w:t>
      </w:r>
      <w:r>
        <w:t>Greece</w:t>
      </w:r>
      <w:r w:rsidR="003D73E5">
        <w:t xml:space="preserve">, </w:t>
      </w:r>
      <w:r>
        <w:t>27</w:t>
      </w:r>
      <w:r w:rsidRPr="00167BFE">
        <w:rPr>
          <w:vertAlign w:val="superscript"/>
        </w:rPr>
        <w:t>th</w:t>
      </w:r>
      <w:r>
        <w:t xml:space="preserve"> February</w:t>
      </w:r>
      <w:r w:rsidR="007F7B97">
        <w:t xml:space="preserve"> – </w:t>
      </w:r>
      <w:r>
        <w:t>3</w:t>
      </w:r>
      <w:r w:rsidRPr="00167BFE">
        <w:rPr>
          <w:vertAlign w:val="superscript"/>
        </w:rPr>
        <w:t>rd</w:t>
      </w:r>
      <w:r>
        <w:t xml:space="preserve"> March</w:t>
      </w:r>
      <w:r w:rsidR="003D73E5" w:rsidRPr="00B33C68">
        <w:t xml:space="preserve"> 202</w:t>
      </w:r>
      <w:r>
        <w:t>3</w:t>
      </w:r>
    </w:p>
    <w:p w14:paraId="3C0C3024" w14:textId="77777777" w:rsidR="003D73E5" w:rsidRPr="00CE0424" w:rsidRDefault="003D73E5" w:rsidP="003D73E5">
      <w:pPr>
        <w:pStyle w:val="3GPPHeader"/>
      </w:pPr>
    </w:p>
    <w:p w14:paraId="3A9FB8F5" w14:textId="42840A45" w:rsidR="003D73E5" w:rsidRPr="000F6C65" w:rsidRDefault="003D73E5" w:rsidP="003D73E5">
      <w:pPr>
        <w:pStyle w:val="3GPPHeader"/>
        <w:rPr>
          <w:sz w:val="22"/>
          <w:szCs w:val="22"/>
          <w:lang w:val="en-US"/>
        </w:rPr>
      </w:pPr>
      <w:r w:rsidRPr="00CE0424">
        <w:rPr>
          <w:sz w:val="22"/>
          <w:szCs w:val="22"/>
        </w:rPr>
        <w:t>Agenda Item:</w:t>
      </w:r>
      <w:r w:rsidRPr="00CE0424">
        <w:rPr>
          <w:sz w:val="22"/>
          <w:szCs w:val="22"/>
        </w:rPr>
        <w:tab/>
      </w:r>
      <w:r w:rsidR="00427FD5">
        <w:rPr>
          <w:sz w:val="22"/>
          <w:szCs w:val="22"/>
          <w:lang w:val="en-US"/>
        </w:rPr>
        <w:t>8.12.3</w:t>
      </w:r>
    </w:p>
    <w:p w14:paraId="1C876DB7" w14:textId="77777777" w:rsidR="003D73E5" w:rsidRPr="00CE0424" w:rsidRDefault="003D73E5" w:rsidP="003D73E5">
      <w:pPr>
        <w:pStyle w:val="3GPPHeader"/>
        <w:rPr>
          <w:sz w:val="22"/>
          <w:szCs w:val="22"/>
        </w:rPr>
      </w:pPr>
      <w:r>
        <w:rPr>
          <w:sz w:val="22"/>
          <w:szCs w:val="22"/>
        </w:rPr>
        <w:t>Source:</w:t>
      </w:r>
      <w:r w:rsidRPr="00CE0424">
        <w:rPr>
          <w:sz w:val="22"/>
          <w:szCs w:val="22"/>
        </w:rPr>
        <w:tab/>
        <w:t>Ericsson</w:t>
      </w:r>
    </w:p>
    <w:p w14:paraId="1288CFBD" w14:textId="5D20268D" w:rsidR="003D73E5" w:rsidRPr="00CE0424" w:rsidRDefault="003D73E5" w:rsidP="003D73E5">
      <w:pPr>
        <w:pStyle w:val="3GPPHeader"/>
        <w:rPr>
          <w:sz w:val="22"/>
          <w:szCs w:val="22"/>
        </w:rPr>
      </w:pPr>
      <w:r>
        <w:rPr>
          <w:sz w:val="22"/>
          <w:szCs w:val="22"/>
        </w:rPr>
        <w:t>Title:</w:t>
      </w:r>
      <w:r w:rsidRPr="00CE0424">
        <w:rPr>
          <w:sz w:val="22"/>
          <w:szCs w:val="22"/>
        </w:rPr>
        <w:tab/>
      </w:r>
      <w:r w:rsidR="005A5B39">
        <w:rPr>
          <w:sz w:val="22"/>
          <w:szCs w:val="22"/>
        </w:rPr>
        <w:t xml:space="preserve">Discussion on SA2 and migration </w:t>
      </w:r>
      <w:r>
        <w:rPr>
          <w:sz w:val="22"/>
          <w:szCs w:val="22"/>
        </w:rPr>
        <w:t xml:space="preserve">aspects </w:t>
      </w:r>
      <w:r w:rsidR="00251866">
        <w:rPr>
          <w:sz w:val="22"/>
          <w:szCs w:val="22"/>
        </w:rPr>
        <w:t>for mobile IAB</w:t>
      </w:r>
    </w:p>
    <w:p w14:paraId="2596395D" w14:textId="77777777" w:rsidR="003D73E5" w:rsidRPr="00CE0424" w:rsidRDefault="003D73E5" w:rsidP="003D73E5">
      <w:pPr>
        <w:pStyle w:val="3GPPHeader"/>
        <w:rPr>
          <w:sz w:val="22"/>
          <w:szCs w:val="22"/>
        </w:rPr>
      </w:pPr>
      <w:r w:rsidRPr="00CE0424">
        <w:rPr>
          <w:sz w:val="22"/>
          <w:szCs w:val="22"/>
        </w:rPr>
        <w:t>Document for:</w:t>
      </w:r>
      <w:r w:rsidRPr="00CE0424">
        <w:rPr>
          <w:sz w:val="22"/>
          <w:szCs w:val="22"/>
        </w:rPr>
        <w:tab/>
      </w:r>
      <w:r w:rsidRPr="004367BC">
        <w:rPr>
          <w:sz w:val="22"/>
          <w:szCs w:val="22"/>
        </w:rPr>
        <w:t>Discussion, Decision</w:t>
      </w:r>
    </w:p>
    <w:p w14:paraId="0F236501" w14:textId="77777777" w:rsidR="003D73E5" w:rsidRPr="00CE0424" w:rsidRDefault="003D73E5" w:rsidP="003D73E5"/>
    <w:p w14:paraId="5BE67E06" w14:textId="77777777" w:rsidR="003D73E5" w:rsidRDefault="003D73E5" w:rsidP="003D73E5">
      <w:pPr>
        <w:pStyle w:val="Heading1"/>
      </w:pPr>
      <w:r>
        <w:t>1</w:t>
      </w:r>
      <w:r>
        <w:tab/>
      </w:r>
      <w:r w:rsidRPr="00CE0424">
        <w:t>Introduction</w:t>
      </w:r>
    </w:p>
    <w:p w14:paraId="278046E9" w14:textId="0C889588" w:rsidR="003D73E5" w:rsidRDefault="009B3310" w:rsidP="003D73E5">
      <w:pPr>
        <w:pStyle w:val="BodyText"/>
      </w:pPr>
      <w:r>
        <w:t>In the last RAN2#120 meeting, the following agreements have been reached during the discussions within the mobile IAB WI:</w:t>
      </w:r>
    </w:p>
    <w:p w14:paraId="269B909E" w14:textId="77777777" w:rsidR="00A848E0" w:rsidRDefault="00A848E0" w:rsidP="00A848E0">
      <w:pPr>
        <w:pStyle w:val="Agreement"/>
        <w:pBdr>
          <w:top w:val="single" w:sz="4" w:space="1" w:color="auto"/>
          <w:left w:val="single" w:sz="4" w:space="4" w:color="auto"/>
          <w:bottom w:val="single" w:sz="4" w:space="1" w:color="auto"/>
          <w:right w:val="single" w:sz="4" w:space="4" w:color="auto"/>
        </w:pBdr>
        <w:tabs>
          <w:tab w:val="clear" w:pos="1619"/>
        </w:tabs>
        <w:ind w:left="567" w:hanging="425"/>
      </w:pPr>
      <w:r>
        <w:t xml:space="preserve">RAN2 assumes that PCI collision can be avoided, by reconfigurations, and this may be handled by RAN3. If RAN3 finds issues that RAN2 should work </w:t>
      </w:r>
      <w:proofErr w:type="gramStart"/>
      <w:r>
        <w:t>on</w:t>
      </w:r>
      <w:proofErr w:type="gramEnd"/>
      <w:r>
        <w:t xml:space="preserve"> then RAN2 can work. </w:t>
      </w:r>
      <w:proofErr w:type="gramStart"/>
      <w:r>
        <w:t>e.g.</w:t>
      </w:r>
      <w:proofErr w:type="gramEnd"/>
      <w:r>
        <w:t xml:space="preserve"> based on LS.</w:t>
      </w:r>
    </w:p>
    <w:p w14:paraId="3907B811" w14:textId="77777777" w:rsidR="00A848E0" w:rsidRPr="008F1392" w:rsidRDefault="00A848E0" w:rsidP="00A848E0">
      <w:pPr>
        <w:pStyle w:val="Agreement"/>
        <w:pBdr>
          <w:top w:val="single" w:sz="4" w:space="1" w:color="auto"/>
          <w:left w:val="single" w:sz="4" w:space="4" w:color="auto"/>
          <w:bottom w:val="single" w:sz="4" w:space="1" w:color="auto"/>
          <w:right w:val="single" w:sz="4" w:space="4" w:color="auto"/>
        </w:pBdr>
        <w:tabs>
          <w:tab w:val="clear" w:pos="1619"/>
        </w:tabs>
        <w:ind w:left="567" w:hanging="425"/>
      </w:pPr>
      <w:r>
        <w:t xml:space="preserve">RAN2 understands that RACH interference and collisions may be avoided by RACH configuration, and RACH configurations can </w:t>
      </w:r>
      <w:proofErr w:type="gramStart"/>
      <w:r>
        <w:t>e.g.</w:t>
      </w:r>
      <w:proofErr w:type="gramEnd"/>
      <w:r>
        <w:t xml:space="preserve"> be exchanged by Xn, so RACH interference and collisions better be handled between RAN3 and RAN1, if needed.</w:t>
      </w:r>
    </w:p>
    <w:p w14:paraId="6A822161" w14:textId="77777777" w:rsidR="009B3310" w:rsidRDefault="009B3310" w:rsidP="003D73E5">
      <w:pPr>
        <w:pStyle w:val="BodyText"/>
      </w:pPr>
    </w:p>
    <w:p w14:paraId="7F2D1316" w14:textId="2C9889C4" w:rsidR="003D73E5" w:rsidRDefault="003D73E5" w:rsidP="003D73E5">
      <w:pPr>
        <w:pStyle w:val="BodyText"/>
      </w:pPr>
      <w:r>
        <w:t>Further SA2 has also sent a</w:t>
      </w:r>
      <w:r w:rsidR="0041700F">
        <w:t xml:space="preserve"> reply </w:t>
      </w:r>
      <w:r>
        <w:t>LS that needs RAN2 attention</w:t>
      </w:r>
      <w:r w:rsidR="0008724F">
        <w:t xml:space="preserve"> </w:t>
      </w:r>
      <w:r w:rsidR="00DB2E49">
        <w:t xml:space="preserve">in </w:t>
      </w:r>
      <w:hyperlink r:id="rId11" w:history="1">
        <w:r w:rsidR="0041700F" w:rsidRPr="0041700F">
          <w:rPr>
            <w:rStyle w:val="Hyperlink"/>
          </w:rPr>
          <w:t>S2-2211437</w:t>
        </w:r>
      </w:hyperlink>
      <w:r w:rsidR="00DB2E49">
        <w:t>, in particular for the handling of TAC/RANAC for a mobile IAB</w:t>
      </w:r>
      <w:r w:rsidR="0008724F">
        <w:t>:</w:t>
      </w:r>
    </w:p>
    <w:tbl>
      <w:tblPr>
        <w:tblStyle w:val="TableGrid"/>
        <w:tblW w:w="0" w:type="auto"/>
        <w:tblLook w:val="04A0" w:firstRow="1" w:lastRow="0" w:firstColumn="1" w:lastColumn="0" w:noHBand="0" w:noVBand="1"/>
      </w:tblPr>
      <w:tblGrid>
        <w:gridCol w:w="9629"/>
      </w:tblGrid>
      <w:tr w:rsidR="003D73E5" w14:paraId="27DB6C1F" w14:textId="77777777" w:rsidTr="001A7C3E">
        <w:tc>
          <w:tcPr>
            <w:tcW w:w="9629" w:type="dxa"/>
          </w:tcPr>
          <w:p w14:paraId="7F4226E7" w14:textId="35E9E33A" w:rsidR="003D73E5" w:rsidRPr="00FC77A8" w:rsidRDefault="00FB2FAC" w:rsidP="00072E49">
            <w:pPr>
              <w:pStyle w:val="B1"/>
              <w:rPr>
                <w:i/>
                <w:iCs/>
                <w:lang w:val="en-US"/>
              </w:rPr>
            </w:pPr>
            <w:r w:rsidRPr="00FC77A8">
              <w:rPr>
                <w:i/>
                <w:iCs/>
                <w:lang w:val="en-US"/>
              </w:rPr>
              <w:t>-</w:t>
            </w:r>
            <w:r w:rsidRPr="00FC77A8">
              <w:rPr>
                <w:i/>
                <w:iCs/>
                <w:lang w:val="en-US"/>
              </w:rPr>
              <w:tab/>
              <w:t xml:space="preserve">For point#2 (regarding KI#3), SA2 has concluded the study from SA2 perspective (as in clause 8.3 of TR 23.700-05v1.2.0). Corresponding system impacts of supporting dynamic TAC or static TAC were documented in clause 6.16.4 and 6.17.4. </w:t>
            </w:r>
            <w:r w:rsidRPr="00FC77A8">
              <w:rPr>
                <w:i/>
                <w:iCs/>
                <w:highlight w:val="yellow"/>
                <w:lang w:val="en-US"/>
              </w:rPr>
              <w:t>SA2 will align the normative specification of the work item based on RAN 2/3 feedback</w:t>
            </w:r>
            <w:r w:rsidRPr="00FC77A8">
              <w:rPr>
                <w:i/>
                <w:iCs/>
                <w:lang w:val="en-US"/>
              </w:rPr>
              <w:t xml:space="preserve">. </w:t>
            </w:r>
          </w:p>
        </w:tc>
      </w:tr>
    </w:tbl>
    <w:p w14:paraId="27CFB303" w14:textId="77777777" w:rsidR="003D73E5" w:rsidRDefault="003D73E5" w:rsidP="003D73E5">
      <w:pPr>
        <w:pStyle w:val="BodyText"/>
      </w:pPr>
    </w:p>
    <w:p w14:paraId="178958E3" w14:textId="24AA64FC" w:rsidR="00D735C7" w:rsidRDefault="00D735C7" w:rsidP="003D73E5">
      <w:pPr>
        <w:pStyle w:val="BodyText"/>
      </w:pPr>
      <w:r>
        <w:t>Also, a fu</w:t>
      </w:r>
      <w:r w:rsidR="00214998">
        <w:t>r</w:t>
      </w:r>
      <w:r>
        <w:t xml:space="preserve">ther topic that is mentioned by the LS reply from SA2 is that </w:t>
      </w:r>
      <w:r w:rsidR="005F2D75">
        <w:t xml:space="preserve">a new CAG function will be specified for mobile IAB. This is something that RAN2 and RAN3 should also </w:t>
      </w:r>
      <w:proofErr w:type="gramStart"/>
      <w:r w:rsidR="005F2D75">
        <w:t>take into account</w:t>
      </w:r>
      <w:proofErr w:type="gramEnd"/>
      <w:r w:rsidR="005F2D75">
        <w:t>.</w:t>
      </w:r>
    </w:p>
    <w:p w14:paraId="761C1C8F" w14:textId="69F4EF83" w:rsidR="005F2D75" w:rsidRPr="005F2D75" w:rsidRDefault="005F2D75" w:rsidP="005F2D75">
      <w:pPr>
        <w:pStyle w:val="BodyText"/>
        <w:pBdr>
          <w:top w:val="single" w:sz="4" w:space="1" w:color="auto"/>
          <w:left w:val="single" w:sz="4" w:space="4" w:color="auto"/>
          <w:bottom w:val="single" w:sz="4" w:space="1" w:color="auto"/>
          <w:right w:val="single" w:sz="4" w:space="4" w:color="auto"/>
        </w:pBdr>
        <w:rPr>
          <w:i/>
          <w:iCs/>
        </w:rPr>
      </w:pPr>
      <w:r w:rsidRPr="005F2D75">
        <w:rPr>
          <w:rFonts w:cs="Arial"/>
          <w:i/>
          <w:iCs/>
          <w:color w:val="FF0000"/>
          <w:shd w:val="clear" w:color="auto" w:fill="FFFFFF"/>
        </w:rPr>
        <w:t>Additionally, SA2 would like to further inform that SA2 has reached conclusions for KI#7 in SA2 study related to control of UE access to MBSR using CAG function. See more detailed text in clause 8.7 of the latest TR 23.700-05v1.2.0.</w:t>
      </w:r>
    </w:p>
    <w:p w14:paraId="17E92A33" w14:textId="37F0E2DA" w:rsidR="00072E49" w:rsidRPr="00CE0424" w:rsidRDefault="00072E49" w:rsidP="003D73E5">
      <w:pPr>
        <w:pStyle w:val="BodyText"/>
      </w:pPr>
      <w:r>
        <w:t xml:space="preserve">This contribution is to discuss the </w:t>
      </w:r>
      <w:proofErr w:type="gramStart"/>
      <w:r>
        <w:t>reply</w:t>
      </w:r>
      <w:proofErr w:type="gramEnd"/>
      <w:r>
        <w:t xml:space="preserve"> LS from SA2 </w:t>
      </w:r>
      <w:r w:rsidR="00FC77A8">
        <w:t>regarding</w:t>
      </w:r>
      <w:r>
        <w:t xml:space="preserve"> the handling of TAC/RANAC</w:t>
      </w:r>
      <w:r w:rsidR="0065030F">
        <w:t xml:space="preserve"> and also to provide further clarification on the migration aspects of a mobile IAB.</w:t>
      </w:r>
    </w:p>
    <w:p w14:paraId="66133415" w14:textId="77777777" w:rsidR="003D73E5" w:rsidRDefault="003D73E5" w:rsidP="003D73E5">
      <w:pPr>
        <w:pStyle w:val="Heading1"/>
      </w:pPr>
      <w:bookmarkStart w:id="0" w:name="_Ref178064866"/>
      <w:r>
        <w:t>2</w:t>
      </w:r>
      <w:r>
        <w:tab/>
      </w:r>
      <w:r w:rsidRPr="00CE0424">
        <w:t>Discussion</w:t>
      </w:r>
      <w:bookmarkEnd w:id="0"/>
    </w:p>
    <w:p w14:paraId="1956166A" w14:textId="2B9EEAEA" w:rsidR="003D73E5" w:rsidRDefault="003D73E5" w:rsidP="003D73E5">
      <w:pPr>
        <w:pStyle w:val="Heading2"/>
      </w:pPr>
      <w:r>
        <w:t>2.</w:t>
      </w:r>
      <w:r w:rsidR="00497F30">
        <w:t>1</w:t>
      </w:r>
      <w:r>
        <w:tab/>
      </w:r>
      <w:r w:rsidR="0065030F">
        <w:t>Handling of</w:t>
      </w:r>
      <w:r>
        <w:t xml:space="preserve"> TAC/RAN</w:t>
      </w:r>
      <w:r w:rsidR="00EE35E9">
        <w:t>AC</w:t>
      </w:r>
      <w:r>
        <w:t xml:space="preserve"> </w:t>
      </w:r>
      <w:r w:rsidR="0065030F">
        <w:t>for a mobile IAB</w:t>
      </w:r>
    </w:p>
    <w:p w14:paraId="16A694D0" w14:textId="1783CF6C" w:rsidR="003D73E5" w:rsidRPr="002C78CE" w:rsidRDefault="003D73E5" w:rsidP="003D73E5">
      <w:pPr>
        <w:rPr>
          <w:rFonts w:ascii="Arial" w:hAnsi="Arial" w:cs="Arial"/>
        </w:rPr>
      </w:pPr>
      <w:r w:rsidRPr="002C78CE">
        <w:rPr>
          <w:rFonts w:ascii="Arial" w:hAnsi="Arial" w:cs="Arial"/>
        </w:rPr>
        <w:t xml:space="preserve">Tracking Area </w:t>
      </w:r>
      <w:r w:rsidR="00FC77A8">
        <w:rPr>
          <w:rFonts w:ascii="Arial" w:hAnsi="Arial" w:cs="Arial"/>
        </w:rPr>
        <w:t xml:space="preserve">(TA) </w:t>
      </w:r>
      <w:r w:rsidRPr="002C78CE">
        <w:rPr>
          <w:rFonts w:ascii="Arial" w:hAnsi="Arial" w:cs="Arial"/>
        </w:rPr>
        <w:t>code</w:t>
      </w:r>
      <w:r>
        <w:rPr>
          <w:rFonts w:ascii="Arial" w:hAnsi="Arial" w:cs="Arial"/>
        </w:rPr>
        <w:t xml:space="preserve"> and RAN Area code</w:t>
      </w:r>
      <w:r w:rsidRPr="002C78CE">
        <w:rPr>
          <w:rFonts w:ascii="Arial" w:hAnsi="Arial" w:cs="Arial"/>
        </w:rPr>
        <w:t xml:space="preserve"> are designed in a way to also manage paging</w:t>
      </w:r>
      <w:r>
        <w:rPr>
          <w:rFonts w:ascii="Arial" w:hAnsi="Arial" w:cs="Arial"/>
        </w:rPr>
        <w:t xml:space="preserve"> in efficient way</w:t>
      </w:r>
      <w:r w:rsidRPr="002C78CE">
        <w:rPr>
          <w:rFonts w:ascii="Arial" w:hAnsi="Arial" w:cs="Arial"/>
        </w:rPr>
        <w:t xml:space="preserve">. If TA is large, the CN </w:t>
      </w:r>
      <w:proofErr w:type="gramStart"/>
      <w:r w:rsidRPr="002C78CE">
        <w:rPr>
          <w:rFonts w:ascii="Arial" w:hAnsi="Arial" w:cs="Arial"/>
        </w:rPr>
        <w:t>has to</w:t>
      </w:r>
      <w:proofErr w:type="gramEnd"/>
      <w:r w:rsidRPr="002C78CE">
        <w:rPr>
          <w:rFonts w:ascii="Arial" w:hAnsi="Arial" w:cs="Arial"/>
        </w:rPr>
        <w:t xml:space="preserve"> send pag</w:t>
      </w:r>
      <w:r w:rsidR="00FC77A8">
        <w:rPr>
          <w:rFonts w:ascii="Arial" w:hAnsi="Arial" w:cs="Arial"/>
        </w:rPr>
        <w:t>ing</w:t>
      </w:r>
      <w:r w:rsidRPr="002C78CE">
        <w:rPr>
          <w:rFonts w:ascii="Arial" w:hAnsi="Arial" w:cs="Arial"/>
        </w:rPr>
        <w:t xml:space="preserve"> to a large area which could comprise several gNBs. Having </w:t>
      </w:r>
      <w:r w:rsidR="00FC77A8">
        <w:rPr>
          <w:rFonts w:ascii="Arial" w:hAnsi="Arial" w:cs="Arial"/>
        </w:rPr>
        <w:t xml:space="preserve">a </w:t>
      </w:r>
      <w:r w:rsidRPr="002C78CE">
        <w:rPr>
          <w:rFonts w:ascii="Arial" w:hAnsi="Arial" w:cs="Arial"/>
        </w:rPr>
        <w:t>large TA on the other hand reduces the amount of TA</w:t>
      </w:r>
      <w:r w:rsidR="00BD76BE">
        <w:rPr>
          <w:rFonts w:ascii="Arial" w:hAnsi="Arial" w:cs="Arial"/>
        </w:rPr>
        <w:t xml:space="preserve"> updates</w:t>
      </w:r>
      <w:r w:rsidRPr="002C78CE">
        <w:rPr>
          <w:rFonts w:ascii="Arial" w:hAnsi="Arial" w:cs="Arial"/>
        </w:rPr>
        <w:t xml:space="preserve"> that </w:t>
      </w:r>
      <w:r w:rsidR="00FC77A8">
        <w:rPr>
          <w:rFonts w:ascii="Arial" w:hAnsi="Arial" w:cs="Arial"/>
        </w:rPr>
        <w:t xml:space="preserve">a </w:t>
      </w:r>
      <w:r w:rsidRPr="002C78CE">
        <w:rPr>
          <w:rFonts w:ascii="Arial" w:hAnsi="Arial" w:cs="Arial"/>
        </w:rPr>
        <w:t>UE may have to perform.</w:t>
      </w:r>
    </w:p>
    <w:p w14:paraId="0FA79ACD" w14:textId="12F53B5D" w:rsidR="003D73E5" w:rsidRPr="002C78CE" w:rsidRDefault="003D73E5" w:rsidP="003D73E5">
      <w:pPr>
        <w:rPr>
          <w:rFonts w:ascii="Arial" w:hAnsi="Arial" w:cs="Arial"/>
        </w:rPr>
      </w:pPr>
      <w:r w:rsidRPr="01D2464F">
        <w:rPr>
          <w:rFonts w:ascii="Arial" w:hAnsi="Arial" w:cs="Arial"/>
        </w:rPr>
        <w:lastRenderedPageBreak/>
        <w:t xml:space="preserve">As mobile IAB is moving like a regular </w:t>
      </w:r>
      <w:r w:rsidR="00BD76BE">
        <w:rPr>
          <w:rFonts w:ascii="Arial" w:hAnsi="Arial" w:cs="Arial"/>
        </w:rPr>
        <w:t>UE,</w:t>
      </w:r>
      <w:r w:rsidRPr="01D2464F">
        <w:rPr>
          <w:rFonts w:ascii="Arial" w:hAnsi="Arial" w:cs="Arial"/>
        </w:rPr>
        <w:t xml:space="preserve"> it may move to a new TA. The question in this case is whether the cells belonging to </w:t>
      </w:r>
      <w:r w:rsidR="00FC77A8">
        <w:rPr>
          <w:rFonts w:ascii="Arial" w:hAnsi="Arial" w:cs="Arial"/>
        </w:rPr>
        <w:t xml:space="preserve">a </w:t>
      </w:r>
      <w:r w:rsidRPr="01D2464F">
        <w:rPr>
          <w:rFonts w:ascii="Arial" w:hAnsi="Arial" w:cs="Arial"/>
        </w:rPr>
        <w:t xml:space="preserve">mobile IAB DU mirror the new TAC (i.e., change TAC) that mobile-IAB MT registers to or continue keeping the same TAC (i.e., </w:t>
      </w:r>
      <w:r>
        <w:rPr>
          <w:rFonts w:ascii="Arial" w:hAnsi="Arial" w:cs="Arial"/>
        </w:rPr>
        <w:t>dedicated</w:t>
      </w:r>
      <w:r w:rsidRPr="01D2464F">
        <w:rPr>
          <w:rFonts w:ascii="Arial" w:hAnsi="Arial" w:cs="Arial"/>
        </w:rPr>
        <w:t xml:space="preserve"> TAC). </w:t>
      </w:r>
    </w:p>
    <w:p w14:paraId="2BEA5688" w14:textId="5A5BD81C" w:rsidR="003D73E5" w:rsidRDefault="003D73E5" w:rsidP="003D73E5">
      <w:pPr>
        <w:rPr>
          <w:rFonts w:ascii="Arial" w:hAnsi="Arial" w:cs="Arial"/>
        </w:rPr>
      </w:pPr>
      <w:r w:rsidRPr="7F524D19">
        <w:rPr>
          <w:rFonts w:ascii="Arial" w:hAnsi="Arial" w:cs="Arial"/>
        </w:rPr>
        <w:t xml:space="preserve">From our point of view, we prefer to update the </w:t>
      </w:r>
      <w:r w:rsidR="00CC7DAE" w:rsidRPr="7F524D19">
        <w:rPr>
          <w:rFonts w:ascii="Arial" w:hAnsi="Arial" w:cs="Arial"/>
        </w:rPr>
        <w:t>TA</w:t>
      </w:r>
      <w:r w:rsidR="00CC7DAE">
        <w:rPr>
          <w:rFonts w:ascii="Arial" w:hAnsi="Arial" w:cs="Arial"/>
        </w:rPr>
        <w:t>C</w:t>
      </w:r>
      <w:r w:rsidR="00CC7DAE" w:rsidRPr="7F524D19">
        <w:rPr>
          <w:rFonts w:ascii="Arial" w:hAnsi="Arial" w:cs="Arial"/>
        </w:rPr>
        <w:t xml:space="preserve"> </w:t>
      </w:r>
      <w:r w:rsidRPr="7F524D19">
        <w:rPr>
          <w:rFonts w:ascii="Arial" w:hAnsi="Arial" w:cs="Arial"/>
        </w:rPr>
        <w:t xml:space="preserve">to reflect the new area so that AMF can easily reach/page the UEs served by mobile IAB node. If that is not the case and mobile IAB has the static </w:t>
      </w:r>
      <w:r w:rsidR="00CC7DAE" w:rsidRPr="7F524D19">
        <w:rPr>
          <w:rFonts w:ascii="Arial" w:hAnsi="Arial" w:cs="Arial"/>
        </w:rPr>
        <w:t>TA</w:t>
      </w:r>
      <w:r w:rsidR="00CC7DAE">
        <w:rPr>
          <w:rFonts w:ascii="Arial" w:hAnsi="Arial" w:cs="Arial"/>
        </w:rPr>
        <w:t>C</w:t>
      </w:r>
      <w:r w:rsidRPr="7F524D19">
        <w:rPr>
          <w:rFonts w:ascii="Arial" w:hAnsi="Arial" w:cs="Arial"/>
        </w:rPr>
        <w:t>, then AMF must figure out by some other means where the mobile IAB is and its UEs are currently. The new signa</w:t>
      </w:r>
      <w:r w:rsidR="00FC77A8">
        <w:rPr>
          <w:rFonts w:ascii="Arial" w:hAnsi="Arial" w:cs="Arial"/>
        </w:rPr>
        <w:t>l</w:t>
      </w:r>
      <w:r w:rsidRPr="7F524D19">
        <w:rPr>
          <w:rFonts w:ascii="Arial" w:hAnsi="Arial" w:cs="Arial"/>
        </w:rPr>
        <w:t>ling indication to AMF during NAS registration may need to include parent IAB cell ID etc. But we consider changing the TAC is more logical.</w:t>
      </w:r>
    </w:p>
    <w:p w14:paraId="5DCC9704" w14:textId="6BA231FE" w:rsidR="0065030F" w:rsidRDefault="0065030F" w:rsidP="003D73E5">
      <w:pPr>
        <w:rPr>
          <w:rFonts w:ascii="Arial" w:hAnsi="Arial" w:cs="Arial"/>
        </w:rPr>
      </w:pPr>
      <w:r>
        <w:rPr>
          <w:rFonts w:ascii="Arial" w:hAnsi="Arial" w:cs="Arial"/>
        </w:rPr>
        <w:t>About this topic, RAN3 had already a discussion in the last RAN3#</w:t>
      </w:r>
      <w:r w:rsidR="00107C67">
        <w:rPr>
          <w:rFonts w:ascii="Arial" w:hAnsi="Arial" w:cs="Arial"/>
        </w:rPr>
        <w:t>118 meeting and the following agreements have been reached:</w:t>
      </w:r>
    </w:p>
    <w:p w14:paraId="35962334" w14:textId="77777777" w:rsidR="00EE3B7A" w:rsidRPr="00072E42" w:rsidRDefault="00EE3B7A" w:rsidP="00EE3B7A">
      <w:pPr>
        <w:widowControl w:val="0"/>
        <w:pBdr>
          <w:top w:val="single" w:sz="4" w:space="1" w:color="auto"/>
          <w:left w:val="single" w:sz="4" w:space="4" w:color="auto"/>
          <w:bottom w:val="single" w:sz="4" w:space="1" w:color="auto"/>
          <w:right w:val="single" w:sz="4" w:space="4" w:color="auto"/>
        </w:pBdr>
        <w:rPr>
          <w:rFonts w:ascii="Calibri" w:hAnsi="Calibri" w:cs="Calibri"/>
          <w:b/>
          <w:bCs/>
          <w:color w:val="008000"/>
          <w:sz w:val="18"/>
          <w:szCs w:val="18"/>
        </w:rPr>
      </w:pPr>
      <w:r w:rsidRPr="00072E42">
        <w:rPr>
          <w:rFonts w:ascii="Calibri" w:hAnsi="Calibri" w:cs="Calibri"/>
          <w:b/>
          <w:bCs/>
          <w:color w:val="008000"/>
          <w:sz w:val="18"/>
          <w:szCs w:val="18"/>
        </w:rPr>
        <w:t xml:space="preserve">Static TAC solution is not pursued. </w:t>
      </w:r>
    </w:p>
    <w:p w14:paraId="5BD15D27" w14:textId="77777777" w:rsidR="00EE3B7A" w:rsidRPr="00072E42" w:rsidRDefault="00EE3B7A" w:rsidP="00EE3B7A">
      <w:pPr>
        <w:widowControl w:val="0"/>
        <w:pBdr>
          <w:top w:val="single" w:sz="4" w:space="1" w:color="auto"/>
          <w:left w:val="single" w:sz="4" w:space="4" w:color="auto"/>
          <w:bottom w:val="single" w:sz="4" w:space="1" w:color="auto"/>
          <w:right w:val="single" w:sz="4" w:space="4" w:color="auto"/>
        </w:pBdr>
        <w:rPr>
          <w:rFonts w:ascii="Calibri" w:hAnsi="Calibri" w:cs="Calibri"/>
          <w:b/>
          <w:bCs/>
          <w:color w:val="008000"/>
          <w:sz w:val="18"/>
          <w:szCs w:val="18"/>
        </w:rPr>
      </w:pPr>
      <w:r w:rsidRPr="00072E42">
        <w:rPr>
          <w:rFonts w:ascii="Calibri" w:hAnsi="Calibri" w:cs="Calibri"/>
          <w:b/>
          <w:bCs/>
          <w:color w:val="008000"/>
          <w:sz w:val="18"/>
          <w:szCs w:val="18"/>
        </w:rPr>
        <w:t xml:space="preserve">RAN3 assumes that dynamic TAC solution should be supported. </w:t>
      </w:r>
    </w:p>
    <w:p w14:paraId="09EF8427" w14:textId="77777777" w:rsidR="00EE3B7A" w:rsidRPr="00072E42" w:rsidRDefault="00EE3B7A" w:rsidP="00EE3B7A">
      <w:pPr>
        <w:widowControl w:val="0"/>
        <w:pBdr>
          <w:top w:val="single" w:sz="4" w:space="1" w:color="auto"/>
          <w:left w:val="single" w:sz="4" w:space="4" w:color="auto"/>
          <w:bottom w:val="single" w:sz="4" w:space="1" w:color="auto"/>
          <w:right w:val="single" w:sz="4" w:space="4" w:color="auto"/>
        </w:pBdr>
        <w:rPr>
          <w:rFonts w:ascii="Calibri" w:hAnsi="Calibri" w:cs="Calibri"/>
          <w:b/>
          <w:bCs/>
          <w:color w:val="008000"/>
          <w:sz w:val="18"/>
          <w:szCs w:val="18"/>
        </w:rPr>
      </w:pPr>
      <w:r w:rsidRPr="00072E42">
        <w:rPr>
          <w:rFonts w:ascii="Calibri" w:hAnsi="Calibri" w:cs="Calibri"/>
          <w:b/>
          <w:bCs/>
          <w:color w:val="008000"/>
          <w:sz w:val="18"/>
          <w:szCs w:val="18"/>
        </w:rPr>
        <w:t xml:space="preserve">RAN3 to continue discussions on impacts (if any) of dynamic TAC solutions on RAN3 specs </w:t>
      </w:r>
    </w:p>
    <w:p w14:paraId="52F1F808" w14:textId="0C102E01" w:rsidR="00107C67" w:rsidRPr="00EE3B7A" w:rsidRDefault="00EE3B7A" w:rsidP="00EE3B7A">
      <w:pPr>
        <w:widowControl w:val="0"/>
        <w:pBdr>
          <w:top w:val="single" w:sz="4" w:space="1" w:color="auto"/>
          <w:left w:val="single" w:sz="4" w:space="4" w:color="auto"/>
          <w:bottom w:val="single" w:sz="4" w:space="1" w:color="auto"/>
          <w:right w:val="single" w:sz="4" w:space="4" w:color="auto"/>
        </w:pBdr>
        <w:rPr>
          <w:rFonts w:ascii="Calibri" w:hAnsi="Calibri" w:cs="Calibri"/>
          <w:b/>
          <w:bCs/>
          <w:color w:val="008000"/>
          <w:sz w:val="18"/>
          <w:szCs w:val="18"/>
        </w:rPr>
      </w:pPr>
      <w:r w:rsidRPr="00072E42">
        <w:rPr>
          <w:rFonts w:ascii="Calibri" w:hAnsi="Calibri" w:cs="Calibri"/>
          <w:b/>
          <w:bCs/>
          <w:color w:val="008000"/>
          <w:sz w:val="18"/>
          <w:szCs w:val="18"/>
        </w:rPr>
        <w:t xml:space="preserve">Send an LS to RAN2 (include SA2 in </w:t>
      </w:r>
      <w:proofErr w:type="gramStart"/>
      <w:r w:rsidRPr="00072E42">
        <w:rPr>
          <w:rFonts w:ascii="Calibri" w:hAnsi="Calibri" w:cs="Calibri"/>
          <w:b/>
          <w:bCs/>
          <w:color w:val="008000"/>
          <w:sz w:val="18"/>
          <w:szCs w:val="18"/>
        </w:rPr>
        <w:t>To</w:t>
      </w:r>
      <w:proofErr w:type="gramEnd"/>
      <w:r w:rsidRPr="00072E42">
        <w:rPr>
          <w:rFonts w:ascii="Calibri" w:hAnsi="Calibri" w:cs="Calibri"/>
          <w:b/>
          <w:bCs/>
          <w:color w:val="008000"/>
          <w:sz w:val="18"/>
          <w:szCs w:val="18"/>
        </w:rPr>
        <w:t>) informing RAN2 of the decisions taken by RAN3</w:t>
      </w:r>
    </w:p>
    <w:p w14:paraId="16727D5B" w14:textId="3CE2F340" w:rsidR="00EE3B7A" w:rsidRDefault="00EE3B7A" w:rsidP="003D73E5">
      <w:pPr>
        <w:rPr>
          <w:rStyle w:val="IvDbodytextChar"/>
          <w:iCs/>
        </w:rPr>
      </w:pPr>
      <w:r>
        <w:rPr>
          <w:rStyle w:val="IvDbodytextChar"/>
          <w:iCs/>
        </w:rPr>
        <w:t xml:space="preserve">Therefore, RAN3 has already agreed to support </w:t>
      </w:r>
      <w:r w:rsidR="0085253E">
        <w:rPr>
          <w:rStyle w:val="IvDbodytextChar"/>
          <w:iCs/>
        </w:rPr>
        <w:t>dynamic</w:t>
      </w:r>
      <w:r>
        <w:rPr>
          <w:rStyle w:val="IvDbodytextChar"/>
          <w:iCs/>
        </w:rPr>
        <w:t xml:space="preserve"> TAC/RANAC for a mobile IAB. Now the question is whether this agreement has any RAN2 impact. </w:t>
      </w:r>
    </w:p>
    <w:p w14:paraId="580671C0" w14:textId="655D6260" w:rsidR="003D73E5" w:rsidRDefault="0085253E" w:rsidP="003D73E5">
      <w:pPr>
        <w:rPr>
          <w:rStyle w:val="IvDbodytextChar"/>
        </w:rPr>
      </w:pPr>
      <w:r>
        <w:rPr>
          <w:rStyle w:val="IvDbodytextChar"/>
          <w:iCs/>
        </w:rPr>
        <w:t>If we use the legacy signalling that is in place for a normal UE, a m</w:t>
      </w:r>
      <w:r w:rsidR="003D73E5" w:rsidRPr="002C78CE">
        <w:rPr>
          <w:rStyle w:val="IvDbodytextChar"/>
          <w:iCs/>
        </w:rPr>
        <w:t>obile</w:t>
      </w:r>
      <w:r w:rsidR="003D73E5" w:rsidRPr="002C78CE">
        <w:rPr>
          <w:rStyle w:val="IvDbodytextChar"/>
        </w:rPr>
        <w:t xml:space="preserve"> IAB-MT </w:t>
      </w:r>
      <w:r w:rsidR="003D73E5" w:rsidRPr="002C78CE">
        <w:rPr>
          <w:rStyle w:val="IvDbodytextChar"/>
          <w:iCs/>
        </w:rPr>
        <w:t>can</w:t>
      </w:r>
      <w:r w:rsidR="003D73E5" w:rsidRPr="002C78CE">
        <w:rPr>
          <w:rStyle w:val="IvDbodytextChar"/>
        </w:rPr>
        <w:t xml:space="preserve"> acquire the SIBs from its serving cell and extract the TAC, RAN Area Code</w:t>
      </w:r>
      <w:r w:rsidR="007E2AB3">
        <w:rPr>
          <w:rStyle w:val="IvDbodytextChar"/>
        </w:rPr>
        <w:t xml:space="preserve"> </w:t>
      </w:r>
      <w:r w:rsidR="003D73E5" w:rsidRPr="002C78CE">
        <w:rPr>
          <w:rStyle w:val="IvDbodytextChar"/>
        </w:rPr>
        <w:t xml:space="preserve">and informing these to the mobile IAB-DU. The mobile IAB-DU </w:t>
      </w:r>
      <w:r w:rsidR="003D73E5" w:rsidRPr="002C78CE">
        <w:rPr>
          <w:rStyle w:val="IvDbodytextChar"/>
          <w:i/>
        </w:rPr>
        <w:t xml:space="preserve">can </w:t>
      </w:r>
      <w:r w:rsidR="003D73E5" w:rsidRPr="002C78CE">
        <w:rPr>
          <w:rStyle w:val="IvDbodytextChar"/>
        </w:rPr>
        <w:t>verify/check if there is change in TAC or R</w:t>
      </w:r>
      <w:r w:rsidR="003D73E5" w:rsidRPr="002C78CE">
        <w:rPr>
          <w:rStyle w:val="IvDbodytextChar"/>
          <w:i/>
        </w:rPr>
        <w:t xml:space="preserve">AN </w:t>
      </w:r>
      <w:r w:rsidR="003D73E5" w:rsidRPr="00B81BE5">
        <w:rPr>
          <w:rStyle w:val="IvDbodytextChar"/>
          <w:iCs/>
        </w:rPr>
        <w:t>Area code</w:t>
      </w:r>
      <w:r w:rsidR="003D73E5" w:rsidRPr="002C78CE">
        <w:rPr>
          <w:rStyle w:val="IvDbodytextChar"/>
        </w:rPr>
        <w:t xml:space="preserve">. If there is any change, the SIB content of mobile IAB-DU cells </w:t>
      </w:r>
      <w:r w:rsidR="003D73E5" w:rsidRPr="002C78CE">
        <w:rPr>
          <w:rStyle w:val="IvDbodytextChar"/>
          <w:iCs/>
        </w:rPr>
        <w:t>can be</w:t>
      </w:r>
      <w:r w:rsidR="003D73E5" w:rsidRPr="002C78CE">
        <w:rPr>
          <w:rStyle w:val="IvDbodytextChar"/>
        </w:rPr>
        <w:t xml:space="preserve"> populated/updated with the new values. </w:t>
      </w:r>
    </w:p>
    <w:p w14:paraId="0A46C47F" w14:textId="43699DF4" w:rsidR="003D73E5" w:rsidRPr="00DA0D70" w:rsidRDefault="003D73E5" w:rsidP="003D73E5">
      <w:pPr>
        <w:pStyle w:val="Proposal"/>
      </w:pPr>
      <w:bookmarkStart w:id="1" w:name="_Toc127460422"/>
      <w:r>
        <w:t>Mobile-IAB cells</w:t>
      </w:r>
      <w:r w:rsidR="00432152">
        <w:t xml:space="preserve"> </w:t>
      </w:r>
      <w:r w:rsidR="0085253E">
        <w:t xml:space="preserve">(i.e., </w:t>
      </w:r>
      <w:proofErr w:type="spellStart"/>
      <w:r w:rsidR="0085253E">
        <w:t>mIAB</w:t>
      </w:r>
      <w:proofErr w:type="spellEnd"/>
      <w:r w:rsidR="0085253E">
        <w:t>-DU)</w:t>
      </w:r>
      <w:r>
        <w:t xml:space="preserve"> mirror the same TAC/RAN</w:t>
      </w:r>
      <w:r w:rsidR="0085253E">
        <w:t xml:space="preserve">AC </w:t>
      </w:r>
      <w:r>
        <w:t>that mobile-IAB-MT selects.</w:t>
      </w:r>
      <w:bookmarkEnd w:id="1"/>
    </w:p>
    <w:p w14:paraId="779B376A" w14:textId="760E16D9" w:rsidR="005F2D75" w:rsidRDefault="005F2D75" w:rsidP="005F2D75">
      <w:pPr>
        <w:pStyle w:val="Heading2"/>
      </w:pPr>
      <w:r>
        <w:t>2.2</w:t>
      </w:r>
      <w:r>
        <w:tab/>
        <w:t>New CAG function for mobile IAB</w:t>
      </w:r>
    </w:p>
    <w:p w14:paraId="53874F7F" w14:textId="324FEA0B" w:rsidR="00F24926" w:rsidRPr="00D31924" w:rsidRDefault="005F2D75" w:rsidP="00F24926">
      <w:pPr>
        <w:pStyle w:val="BodyText"/>
      </w:pPr>
      <w:r>
        <w:t>According to the reply LS received by SA2, a new CAG function specifically for mobile IAB will be specified in Rel-18. According to this, RAN2 need to take this information into account and evaluate the impact that this new feature will have.</w:t>
      </w:r>
      <w:r w:rsidR="00F24926">
        <w:t xml:space="preserve"> According to the conclusion reached in TR 23.700-05 clause 8.7 the following principle will apply:</w:t>
      </w:r>
    </w:p>
    <w:tbl>
      <w:tblPr>
        <w:tblW w:w="9792"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2"/>
      </w:tblGrid>
      <w:tr w:rsidR="00F24926" w14:paraId="7341C166" w14:textId="77777777" w:rsidTr="00F24926">
        <w:trPr>
          <w:trHeight w:val="2897"/>
        </w:trPr>
        <w:tc>
          <w:tcPr>
            <w:tcW w:w="9792" w:type="dxa"/>
          </w:tcPr>
          <w:p w14:paraId="3CA54956" w14:textId="77777777" w:rsidR="00F24926" w:rsidRPr="00D31924" w:rsidRDefault="00F24926" w:rsidP="00F24926">
            <w:pPr>
              <w:pStyle w:val="B1"/>
              <w:ind w:left="605"/>
            </w:pPr>
            <w:r w:rsidRPr="00D31924">
              <w:t xml:space="preserve">- </w:t>
            </w:r>
            <w:r w:rsidRPr="00D31924">
              <w:tab/>
              <w:t>CAG Identifier is used to control the access of UE via MBSR (</w:t>
            </w:r>
            <w:proofErr w:type="gramStart"/>
            <w:r w:rsidRPr="00D31924">
              <w:t>i.e.</w:t>
            </w:r>
            <w:proofErr w:type="gramEnd"/>
            <w:r w:rsidRPr="00D31924">
              <w:t xml:space="preserve"> mobile IAB-node) and existing CAG mechanism defined in clause 5.30.3 of TS 23.501 [2] can be used for managing UE's access to MBSR.</w:t>
            </w:r>
          </w:p>
          <w:p w14:paraId="2BFB35A5" w14:textId="77777777" w:rsidR="00F24926" w:rsidRPr="00D31924" w:rsidRDefault="00F24926" w:rsidP="00F24926">
            <w:pPr>
              <w:pStyle w:val="B2"/>
              <w:ind w:left="888"/>
              <w:rPr>
                <w:rFonts w:eastAsia="SimSun"/>
                <w:lang w:eastAsia="zh-CN"/>
              </w:rPr>
            </w:pPr>
            <w:r w:rsidRPr="00D31924">
              <w:rPr>
                <w:rFonts w:eastAsia="SimSun"/>
                <w:lang w:eastAsia="zh-CN"/>
              </w:rPr>
              <w:t>-</w:t>
            </w:r>
            <w:r w:rsidRPr="00D31924">
              <w:rPr>
                <w:rFonts w:eastAsia="SimSun"/>
                <w:lang w:eastAsia="zh-CN"/>
              </w:rPr>
              <w:tab/>
              <w:t xml:space="preserve">When the MBSR is allowed to be operated as an IAB node for a PLMN, the MBSR is configured, either during the communication with the serving PLMN OAM or pre-configured, with CAG identifier </w:t>
            </w:r>
            <w:r w:rsidRPr="00D31924">
              <w:rPr>
                <w:lang w:eastAsia="zh-CN"/>
              </w:rPr>
              <w:t>which is unique within the scope of this PLMN</w:t>
            </w:r>
            <w:r w:rsidRPr="00D31924">
              <w:rPr>
                <w:rFonts w:eastAsia="SimSun"/>
                <w:lang w:eastAsia="zh-CN"/>
              </w:rPr>
              <w:t>.</w:t>
            </w:r>
            <w:r w:rsidRPr="00D31924">
              <w:t xml:space="preserve"> </w:t>
            </w:r>
            <w:r w:rsidRPr="00D31924">
              <w:rPr>
                <w:lang w:eastAsia="zh-CN"/>
              </w:rPr>
              <w:t xml:space="preserve">If the MBSR is pre-configured with the PLMN list in which the </w:t>
            </w:r>
            <w:r w:rsidRPr="00D31924">
              <w:rPr>
                <w:rFonts w:eastAsia="SimSun"/>
                <w:lang w:eastAsia="zh-CN"/>
              </w:rPr>
              <w:t>MBSR is allowed to operate as an IAB node, the corresponding CAG Identifier per PLMN is also configured in the MBSR.</w:t>
            </w:r>
          </w:p>
          <w:p w14:paraId="5F45C6C4" w14:textId="77777777" w:rsidR="00F24926" w:rsidRPr="00D31924" w:rsidRDefault="00F24926" w:rsidP="00F24926">
            <w:pPr>
              <w:pStyle w:val="B2"/>
              <w:ind w:left="888"/>
              <w:rPr>
                <w:rFonts w:eastAsia="SimSun"/>
                <w:lang w:eastAsia="zh-CN"/>
              </w:rPr>
            </w:pPr>
            <w:r w:rsidRPr="00D31924">
              <w:rPr>
                <w:lang w:eastAsia="zh-CN"/>
              </w:rPr>
              <w:t>-</w:t>
            </w:r>
            <w:r w:rsidRPr="00D31924">
              <w:rPr>
                <w:lang w:eastAsia="zh-CN"/>
              </w:rPr>
              <w:tab/>
              <w:t xml:space="preserve">RAN and CN supports the UE access control based on the CAG identifier associated with the cell and the allowed CAG identifiers for the UE </w:t>
            </w:r>
            <w:r w:rsidRPr="00D31924">
              <w:t>that supports CAG functionality</w:t>
            </w:r>
            <w:r w:rsidRPr="00D31924">
              <w:rPr>
                <w:lang w:eastAsia="zh-CN"/>
              </w:rPr>
              <w:t>.</w:t>
            </w:r>
          </w:p>
          <w:p w14:paraId="12E74684" w14:textId="77777777" w:rsidR="00F24926" w:rsidRPr="00D31924" w:rsidRDefault="00F24926" w:rsidP="00F24926">
            <w:pPr>
              <w:pStyle w:val="B2"/>
              <w:ind w:left="888"/>
              <w:rPr>
                <w:rFonts w:eastAsia="SimSun"/>
                <w:lang w:eastAsia="zh-CN"/>
              </w:rPr>
            </w:pPr>
            <w:r w:rsidRPr="00D31924">
              <w:rPr>
                <w:lang w:eastAsia="zh-CN"/>
              </w:rPr>
              <w:t>-</w:t>
            </w:r>
            <w:r w:rsidRPr="00D31924">
              <w:rPr>
                <w:lang w:eastAsia="zh-CN"/>
              </w:rPr>
              <w:tab/>
              <w:t xml:space="preserve">For the UE that does not support CAG functionality, RAN and CN are allowed to use not only CAG mechanism but also the other existing mechanism </w:t>
            </w:r>
            <w:proofErr w:type="gramStart"/>
            <w:r w:rsidRPr="00D31924">
              <w:rPr>
                <w:lang w:eastAsia="zh-CN"/>
              </w:rPr>
              <w:t>e.g.</w:t>
            </w:r>
            <w:proofErr w:type="gramEnd"/>
            <w:r w:rsidRPr="00D31924">
              <w:rPr>
                <w:lang w:eastAsia="zh-CN"/>
              </w:rPr>
              <w:t xml:space="preserve"> forbidden Tracking Area.</w:t>
            </w:r>
          </w:p>
          <w:p w14:paraId="4D88EC5A" w14:textId="77777777" w:rsidR="00F24926" w:rsidRPr="00D31924" w:rsidRDefault="00F24926" w:rsidP="00F24926">
            <w:pPr>
              <w:pStyle w:val="NO"/>
              <w:ind w:left="1172"/>
            </w:pPr>
            <w:r w:rsidRPr="00D31924">
              <w:t>NOTE 1:</w:t>
            </w:r>
            <w:r w:rsidRPr="00D31924">
              <w:tab/>
              <w:t>If CAG ID associated with MBSR and CAG ID associated with private network, both are broadcasted how to apply access control will be determined during normative phase.</w:t>
            </w:r>
          </w:p>
          <w:p w14:paraId="6E2C0EA1" w14:textId="77777777" w:rsidR="00F24926" w:rsidRDefault="00F24926" w:rsidP="00F24926">
            <w:pPr>
              <w:pStyle w:val="B1"/>
              <w:ind w:left="605"/>
            </w:pPr>
            <w:r w:rsidRPr="00D31924">
              <w:t xml:space="preserve">- </w:t>
            </w:r>
            <w:r w:rsidRPr="00D31924">
              <w:tab/>
              <w:t>Extra information (</w:t>
            </w:r>
            <w:proofErr w:type="gramStart"/>
            <w:r w:rsidRPr="00D31924">
              <w:t>e.g.</w:t>
            </w:r>
            <w:proofErr w:type="gramEnd"/>
            <w:r w:rsidRPr="00D31924">
              <w:t xml:space="preserve"> time duration and location information) may be deployed together with the CAG Identifier for MBSR that UE can access. The enhanced Allowed CAG list will be provided to UE and AMF for enforcement to make sure UE not accessing the MBSR cell outside of the time duration or geographic area, </w:t>
            </w:r>
            <w:proofErr w:type="gramStart"/>
            <w:r w:rsidRPr="00D31924">
              <w:t>e.g.</w:t>
            </w:r>
            <w:proofErr w:type="gramEnd"/>
            <w:r w:rsidRPr="00D31924">
              <w:t xml:space="preserve"> if the time when a certain CAG is allowed for a UE is up or UE is out of the geographic area, the CAG for the UE is revoked from the network as per TS 23.501 [2]. In normative phase it will be also considered whether a more energy efficient approach based on time and </w:t>
            </w:r>
            <w:proofErr w:type="gramStart"/>
            <w:r w:rsidRPr="00D31924">
              <w:t>location based</w:t>
            </w:r>
            <w:proofErr w:type="gramEnd"/>
            <w:r w:rsidRPr="00D31924">
              <w:t xml:space="preserve"> information can be pursued.</w:t>
            </w:r>
          </w:p>
          <w:p w14:paraId="232E0B7A" w14:textId="77777777" w:rsidR="00F24926" w:rsidRDefault="00F24926" w:rsidP="00F24926">
            <w:pPr>
              <w:pStyle w:val="B1"/>
            </w:pPr>
            <w:r>
              <w:lastRenderedPageBreak/>
              <w:t>-</w:t>
            </w:r>
            <w:r>
              <w:tab/>
              <w:t xml:space="preserve">Extra information may also be provided with allowed CAG ID list by AMF to the UE for IDLE mode cell access control, </w:t>
            </w:r>
            <w:proofErr w:type="gramStart"/>
            <w:r>
              <w:t>e.g.</w:t>
            </w:r>
            <w:proofErr w:type="gramEnd"/>
            <w:r>
              <w:t xml:space="preserve"> cell (re)selection.</w:t>
            </w:r>
          </w:p>
          <w:p w14:paraId="387AFFE4" w14:textId="77777777" w:rsidR="00F24926" w:rsidRDefault="00F24926" w:rsidP="00F24926">
            <w:pPr>
              <w:pStyle w:val="B1"/>
            </w:pPr>
            <w:r>
              <w:t>-</w:t>
            </w:r>
            <w:r>
              <w:tab/>
              <w:t>The AMF may verify whether UE access via MBSR is allowed by CAG Identifier and corresponding Extra information.</w:t>
            </w:r>
          </w:p>
          <w:p w14:paraId="61B7ACFC" w14:textId="77777777" w:rsidR="00F24926" w:rsidRDefault="00F24926" w:rsidP="00F24926">
            <w:pPr>
              <w:pStyle w:val="NO"/>
            </w:pPr>
            <w:r>
              <w:t>NOTE 2:</w:t>
            </w:r>
            <w:r>
              <w:tab/>
              <w:t xml:space="preserve">Whether this Extra information needs to be provided to NG-RAN, </w:t>
            </w:r>
            <w:proofErr w:type="gramStart"/>
            <w:r>
              <w:t>e.g.</w:t>
            </w:r>
            <w:proofErr w:type="gramEnd"/>
            <w:r>
              <w:t xml:space="preserve"> to allow access control for transition from RRC Inactive to RRC Connected state and/or to determine the cells where paging will be performed (as described in clause 4.2.3.3 of TS 23.502 [5]) will be coordinated with RAN WGs in normative phase.</w:t>
            </w:r>
          </w:p>
          <w:p w14:paraId="3FB73A3B" w14:textId="7146BBB9" w:rsidR="00F24926" w:rsidRDefault="00F24926" w:rsidP="00F24926">
            <w:pPr>
              <w:pStyle w:val="NO"/>
            </w:pPr>
            <w:r w:rsidRPr="00D31924">
              <w:t>NOTE </w:t>
            </w:r>
            <w:r>
              <w:t>3</w:t>
            </w:r>
            <w:r w:rsidRPr="00D31924">
              <w:t>:</w:t>
            </w:r>
            <w:r w:rsidRPr="00D31924">
              <w:tab/>
              <w:t>Control of the MBSR access to the serving network is based on normal mobility restriction management based on subscription data form MBSR (</w:t>
            </w:r>
            <w:proofErr w:type="gramStart"/>
            <w:r w:rsidRPr="00D31924">
              <w:t>i.e.</w:t>
            </w:r>
            <w:proofErr w:type="gramEnd"/>
            <w:r w:rsidRPr="00D31924">
              <w:t xml:space="preserve"> IAB-UE).</w:t>
            </w:r>
          </w:p>
        </w:tc>
      </w:tr>
    </w:tbl>
    <w:p w14:paraId="1556AC33" w14:textId="77777777" w:rsidR="00F24926" w:rsidRDefault="00F24926" w:rsidP="005F2D75">
      <w:pPr>
        <w:pStyle w:val="BodyText"/>
      </w:pPr>
    </w:p>
    <w:p w14:paraId="474ABB1D" w14:textId="79DC6EBA" w:rsidR="00F24926" w:rsidRDefault="00F24926" w:rsidP="005F2D75">
      <w:pPr>
        <w:pStyle w:val="BodyText"/>
      </w:pPr>
      <w:r>
        <w:t>However, since the SA2 normative work has not started yet, is it too premature to understand what the impact on RAN2 of this new feature will be. Therefore, RAN2 should wait for SA2 progress before taking any decision:</w:t>
      </w:r>
    </w:p>
    <w:p w14:paraId="4D891FE4" w14:textId="6CDAD934" w:rsidR="00F24926" w:rsidRPr="005F2D75" w:rsidRDefault="0001614B" w:rsidP="0001614B">
      <w:pPr>
        <w:pStyle w:val="Proposal"/>
      </w:pPr>
      <w:bookmarkStart w:id="2" w:name="_Toc127460423"/>
      <w:r>
        <w:t>RAN2 to wait SA2 progresses about the new CAG functionality for mobile IAB.</w:t>
      </w:r>
      <w:bookmarkEnd w:id="2"/>
    </w:p>
    <w:p w14:paraId="57ECE545" w14:textId="0C07026A" w:rsidR="003D73E5" w:rsidRDefault="003D73E5" w:rsidP="003D73E5">
      <w:pPr>
        <w:pStyle w:val="Heading2"/>
      </w:pPr>
      <w:r>
        <w:t>2.</w:t>
      </w:r>
      <w:r w:rsidR="005F2D75">
        <w:t>3</w:t>
      </w:r>
      <w:r>
        <w:tab/>
        <w:t>Migration aspects</w:t>
      </w:r>
    </w:p>
    <w:p w14:paraId="36247D8E" w14:textId="77777777" w:rsidR="003D73E5" w:rsidRPr="008D1D70" w:rsidRDefault="003D73E5" w:rsidP="003D73E5">
      <w:pPr>
        <w:spacing w:before="120" w:after="0"/>
        <w:rPr>
          <w:rFonts w:ascii="Arial" w:hAnsi="Arial" w:cs="Arial"/>
          <w:bCs/>
        </w:rPr>
      </w:pPr>
      <w:r w:rsidRPr="008D1D70">
        <w:rPr>
          <w:rFonts w:ascii="Arial" w:hAnsi="Arial" w:cs="Arial"/>
          <w:bCs/>
        </w:rPr>
        <w:t>The main task for the Rel-18 IAB WI is to specify the procedure for enabling IAB-node mobility. The Rel-17 specifications support partial migration of IAB-nodes, where the IAB-MT of an IAB-node is handed over between two donor CUs, while the F1 traffic traversing/terminated at the co-located IAB-DU is redirected to traverse the donor DU serving the IAB-MT after the IAB-MT handover (HO). The termination points of the F1 traffic traversing/terminated at the co-located IAB-DU remain unchanged.</w:t>
      </w:r>
    </w:p>
    <w:p w14:paraId="30F1833C" w14:textId="77777777" w:rsidR="003D73E5" w:rsidRPr="008D1D70" w:rsidRDefault="003D73E5" w:rsidP="003D73E5">
      <w:pPr>
        <w:spacing w:before="120" w:after="0"/>
        <w:rPr>
          <w:rFonts w:ascii="Arial" w:hAnsi="Arial" w:cs="Arial"/>
          <w:bCs/>
        </w:rPr>
      </w:pPr>
      <w:r w:rsidRPr="008D1D70">
        <w:rPr>
          <w:rFonts w:ascii="Arial" w:hAnsi="Arial" w:cs="Arial"/>
          <w:bCs/>
        </w:rPr>
        <w:t xml:space="preserve">During Rel-17 IAB, full inter-donor migration of an IAB-node was discussed, but not specified. During RAN Plenary discussions, several companies expressed the intention to propose full migration as the baseline for </w:t>
      </w:r>
      <w:proofErr w:type="spellStart"/>
      <w:r w:rsidRPr="008D1D70">
        <w:rPr>
          <w:rFonts w:ascii="Arial" w:hAnsi="Arial" w:cs="Arial"/>
          <w:bCs/>
        </w:rPr>
        <w:t>mIAB</w:t>
      </w:r>
      <w:proofErr w:type="spellEnd"/>
      <w:r w:rsidRPr="008D1D70">
        <w:rPr>
          <w:rFonts w:ascii="Arial" w:hAnsi="Arial" w:cs="Arial"/>
          <w:bCs/>
        </w:rPr>
        <w:t xml:space="preserve"> mobility support. </w:t>
      </w:r>
    </w:p>
    <w:p w14:paraId="3C4455AF" w14:textId="77777777" w:rsidR="003D73E5" w:rsidRPr="008D1D70" w:rsidRDefault="003D73E5" w:rsidP="003D73E5">
      <w:pPr>
        <w:spacing w:before="120" w:after="0"/>
        <w:rPr>
          <w:rFonts w:ascii="Arial" w:hAnsi="Arial" w:cs="Arial"/>
        </w:rPr>
      </w:pPr>
      <w:r w:rsidRPr="008D1D70">
        <w:rPr>
          <w:rFonts w:ascii="Arial" w:hAnsi="Arial" w:cs="Arial"/>
        </w:rPr>
        <w:t xml:space="preserve">One prominent use case for </w:t>
      </w:r>
      <w:proofErr w:type="spellStart"/>
      <w:r w:rsidRPr="008D1D70">
        <w:rPr>
          <w:rFonts w:ascii="Arial" w:hAnsi="Arial" w:cs="Arial"/>
        </w:rPr>
        <w:t>mIAB</w:t>
      </w:r>
      <w:proofErr w:type="spellEnd"/>
      <w:r w:rsidRPr="008D1D70">
        <w:rPr>
          <w:rFonts w:ascii="Arial" w:hAnsi="Arial" w:cs="Arial"/>
        </w:rPr>
        <w:t xml:space="preserve"> is an urban scenario where </w:t>
      </w:r>
      <w:proofErr w:type="spellStart"/>
      <w:r w:rsidRPr="008D1D70">
        <w:rPr>
          <w:rFonts w:ascii="Arial" w:hAnsi="Arial" w:cs="Arial"/>
        </w:rPr>
        <w:t>mIAB</w:t>
      </w:r>
      <w:proofErr w:type="spellEnd"/>
      <w:r w:rsidRPr="008D1D70">
        <w:rPr>
          <w:rFonts w:ascii="Arial" w:hAnsi="Arial" w:cs="Arial"/>
        </w:rPr>
        <w:t xml:space="preserve">-nodes are mounted onboard vehicles. Cells in urban scenarios are typically small, where mobility implies frequent </w:t>
      </w:r>
      <w:r w:rsidRPr="008D1D70">
        <w:rPr>
          <w:rFonts w:ascii="Arial" w:hAnsi="Arial" w:cs="Arial"/>
          <w:bCs/>
        </w:rPr>
        <w:t xml:space="preserve">HOs (of the </w:t>
      </w:r>
      <w:proofErr w:type="spellStart"/>
      <w:r w:rsidRPr="008D1D70">
        <w:rPr>
          <w:rFonts w:ascii="Arial" w:hAnsi="Arial" w:cs="Arial"/>
          <w:bCs/>
        </w:rPr>
        <w:t>mIAB</w:t>
      </w:r>
      <w:proofErr w:type="spellEnd"/>
      <w:r w:rsidRPr="008D1D70">
        <w:rPr>
          <w:rFonts w:ascii="Arial" w:hAnsi="Arial" w:cs="Arial"/>
          <w:bCs/>
        </w:rPr>
        <w:t>-MT)</w:t>
      </w:r>
      <w:r w:rsidRPr="008D1D70">
        <w:rPr>
          <w:rFonts w:ascii="Arial" w:hAnsi="Arial" w:cs="Arial"/>
        </w:rPr>
        <w:t>.</w:t>
      </w:r>
      <w:r w:rsidRPr="008D1D70">
        <w:rPr>
          <w:rFonts w:ascii="Arial" w:hAnsi="Arial" w:cs="Arial"/>
          <w:bCs/>
        </w:rPr>
        <w:t xml:space="preserve"> </w:t>
      </w:r>
      <w:r w:rsidRPr="008D1D70">
        <w:rPr>
          <w:rFonts w:ascii="Arial" w:hAnsi="Arial" w:cs="Arial"/>
        </w:rPr>
        <w:t xml:space="preserve">Always applying the full migration in the form that was discussed in Rel-17 means that both the </w:t>
      </w:r>
      <w:proofErr w:type="spellStart"/>
      <w:r w:rsidRPr="008D1D70">
        <w:rPr>
          <w:rFonts w:ascii="Arial" w:hAnsi="Arial" w:cs="Arial"/>
        </w:rPr>
        <w:t>mIAB</w:t>
      </w:r>
      <w:proofErr w:type="spellEnd"/>
      <w:r w:rsidRPr="008D1D70">
        <w:rPr>
          <w:rFonts w:ascii="Arial" w:hAnsi="Arial" w:cs="Arial"/>
        </w:rPr>
        <w:t xml:space="preserve">-MT and </w:t>
      </w:r>
      <w:proofErr w:type="spellStart"/>
      <w:r w:rsidRPr="008D1D70">
        <w:rPr>
          <w:rFonts w:ascii="Arial" w:hAnsi="Arial" w:cs="Arial"/>
        </w:rPr>
        <w:t>mIAB</w:t>
      </w:r>
      <w:proofErr w:type="spellEnd"/>
      <w:r w:rsidRPr="008D1D70">
        <w:rPr>
          <w:rFonts w:ascii="Arial" w:hAnsi="Arial" w:cs="Arial"/>
        </w:rPr>
        <w:t xml:space="preserve">-DU </w:t>
      </w:r>
      <w:r w:rsidRPr="008D1D70">
        <w:rPr>
          <w:rFonts w:ascii="Arial" w:hAnsi="Arial" w:cs="Arial"/>
          <w:bCs/>
        </w:rPr>
        <w:t>HO</w:t>
      </w:r>
      <w:r w:rsidRPr="008D1D70">
        <w:rPr>
          <w:rFonts w:ascii="Arial" w:hAnsi="Arial" w:cs="Arial"/>
        </w:rPr>
        <w:t xml:space="preserve">s would have to be executed both together and therefore frequently. This would imply complex reconfigurations, with a significant impact on the connected UEs, due to the change of the serving donor CU and, likely, the CGI. </w:t>
      </w:r>
    </w:p>
    <w:p w14:paraId="2497FFF4" w14:textId="77777777" w:rsidR="003D73E5" w:rsidRPr="00410D33" w:rsidRDefault="003D73E5" w:rsidP="003D73E5">
      <w:pPr>
        <w:spacing w:before="120" w:after="0"/>
        <w:rPr>
          <w:rFonts w:asciiTheme="minorHAnsi" w:hAnsiTheme="minorHAnsi" w:cstheme="minorHAnsi"/>
          <w:bCs/>
          <w:sz w:val="22"/>
          <w:szCs w:val="22"/>
        </w:rPr>
      </w:pPr>
    </w:p>
    <w:p w14:paraId="76430443" w14:textId="77777777" w:rsidR="003D73E5" w:rsidRDefault="003D73E5" w:rsidP="00FC3DED">
      <w:pPr>
        <w:pStyle w:val="Observation"/>
        <w:rPr>
          <w:color w:val="FF0000"/>
        </w:rPr>
      </w:pPr>
      <w:bookmarkStart w:id="3" w:name="_Toc127460417"/>
      <w:r>
        <w:t xml:space="preserve">Mandating that the </w:t>
      </w:r>
      <w:proofErr w:type="spellStart"/>
      <w:r>
        <w:t>mIAB</w:t>
      </w:r>
      <w:proofErr w:type="spellEnd"/>
      <w:r>
        <w:t xml:space="preserve">-DU and the served UEs are handed over every time </w:t>
      </w:r>
      <w:r w:rsidRPr="00E72C37">
        <w:t xml:space="preserve">the </w:t>
      </w:r>
      <w:proofErr w:type="spellStart"/>
      <w:r w:rsidRPr="00E72C37">
        <w:t>mIAB</w:t>
      </w:r>
      <w:proofErr w:type="spellEnd"/>
      <w:r w:rsidRPr="00E72C37">
        <w:t xml:space="preserve">-MT is handed over between </w:t>
      </w:r>
      <w:r w:rsidRPr="00F2581B">
        <w:t xml:space="preserve">donor CUs, </w:t>
      </w:r>
      <w:r>
        <w:t>would imply frequent and complex reconfigurations with a</w:t>
      </w:r>
      <w:r w:rsidRPr="00F2581B">
        <w:t xml:space="preserve"> significant</w:t>
      </w:r>
      <w:r>
        <w:t xml:space="preserve"> impact on</w:t>
      </w:r>
      <w:r w:rsidRPr="00F2581B">
        <w:t xml:space="preserve"> the connected UEs due to the change of the serving </w:t>
      </w:r>
      <w:r>
        <w:t xml:space="preserve">donor </w:t>
      </w:r>
      <w:r w:rsidRPr="00F2581B">
        <w:t>CU</w:t>
      </w:r>
      <w:r w:rsidRPr="00E72C37">
        <w:t>.</w:t>
      </w:r>
      <w:bookmarkEnd w:id="3"/>
      <w:r>
        <w:t xml:space="preserve"> </w:t>
      </w:r>
    </w:p>
    <w:p w14:paraId="04076944" w14:textId="520301CF" w:rsidR="003D73E5" w:rsidRPr="008D1D70" w:rsidRDefault="003D73E5" w:rsidP="003D73E5">
      <w:pPr>
        <w:spacing w:before="120" w:after="0"/>
        <w:rPr>
          <w:rFonts w:ascii="Arial" w:hAnsi="Arial" w:cs="Arial"/>
        </w:rPr>
      </w:pPr>
      <w:r w:rsidRPr="008D1D70">
        <w:rPr>
          <w:rFonts w:ascii="Arial" w:hAnsi="Arial" w:cs="Arial"/>
        </w:rPr>
        <w:t xml:space="preserve">Besides the inherent complexity and processing load, an additional risk of joint HO of </w:t>
      </w:r>
      <w:proofErr w:type="spellStart"/>
      <w:r w:rsidRPr="008D1D70">
        <w:rPr>
          <w:rFonts w:ascii="Arial" w:hAnsi="Arial" w:cs="Arial"/>
        </w:rPr>
        <w:t>mIAB</w:t>
      </w:r>
      <w:proofErr w:type="spellEnd"/>
      <w:r w:rsidRPr="008D1D70">
        <w:rPr>
          <w:rFonts w:ascii="Arial" w:hAnsi="Arial" w:cs="Arial"/>
        </w:rPr>
        <w:t xml:space="preserve">-MT and </w:t>
      </w:r>
      <w:proofErr w:type="spellStart"/>
      <w:r w:rsidRPr="008D1D70">
        <w:rPr>
          <w:rFonts w:ascii="Arial" w:hAnsi="Arial" w:cs="Arial"/>
        </w:rPr>
        <w:t>mIAB</w:t>
      </w:r>
      <w:proofErr w:type="spellEnd"/>
      <w:r w:rsidRPr="008D1D70">
        <w:rPr>
          <w:rFonts w:ascii="Arial" w:hAnsi="Arial" w:cs="Arial"/>
        </w:rPr>
        <w:t xml:space="preserve">-DU is that the </w:t>
      </w:r>
      <w:proofErr w:type="spellStart"/>
      <w:r w:rsidRPr="008D1D70">
        <w:rPr>
          <w:rFonts w:ascii="Arial" w:hAnsi="Arial" w:cs="Arial"/>
        </w:rPr>
        <w:t>mIAB</w:t>
      </w:r>
      <w:proofErr w:type="spellEnd"/>
      <w:r w:rsidRPr="008D1D70">
        <w:rPr>
          <w:rFonts w:ascii="Arial" w:hAnsi="Arial" w:cs="Arial"/>
        </w:rPr>
        <w:t xml:space="preserve"> may stay under one donor for just a little while causing a subsequent HO of the </w:t>
      </w:r>
      <w:proofErr w:type="spellStart"/>
      <w:r w:rsidRPr="008D1D70">
        <w:rPr>
          <w:rFonts w:ascii="Arial" w:hAnsi="Arial" w:cs="Arial"/>
        </w:rPr>
        <w:t>mIAB</w:t>
      </w:r>
      <w:proofErr w:type="spellEnd"/>
      <w:r w:rsidRPr="008D1D70">
        <w:rPr>
          <w:rFonts w:ascii="Arial" w:hAnsi="Arial" w:cs="Arial"/>
        </w:rPr>
        <w:t xml:space="preserve">-MT before the completion of the </w:t>
      </w:r>
      <w:proofErr w:type="spellStart"/>
      <w:r w:rsidRPr="008D1D70">
        <w:rPr>
          <w:rFonts w:ascii="Arial" w:hAnsi="Arial" w:cs="Arial"/>
        </w:rPr>
        <w:t>mIAB</w:t>
      </w:r>
      <w:proofErr w:type="spellEnd"/>
      <w:r w:rsidRPr="008D1D70">
        <w:rPr>
          <w:rFonts w:ascii="Arial" w:hAnsi="Arial" w:cs="Arial"/>
        </w:rPr>
        <w:t xml:space="preserve">-DU HO. This is a likely scenario in a small cell environment, typical for urban scenarios. If this happens, two alternatives are possible. Either the </w:t>
      </w:r>
      <w:proofErr w:type="spellStart"/>
      <w:r w:rsidRPr="008D1D70">
        <w:rPr>
          <w:rFonts w:ascii="Arial" w:hAnsi="Arial" w:cs="Arial"/>
        </w:rPr>
        <w:t>mIAB</w:t>
      </w:r>
      <w:proofErr w:type="spellEnd"/>
      <w:r w:rsidRPr="008D1D70">
        <w:rPr>
          <w:rFonts w:ascii="Arial" w:hAnsi="Arial" w:cs="Arial"/>
        </w:rPr>
        <w:t xml:space="preserve">-MT HO is delayed until completion of the </w:t>
      </w:r>
      <w:proofErr w:type="spellStart"/>
      <w:r w:rsidRPr="008D1D70">
        <w:rPr>
          <w:rFonts w:ascii="Arial" w:hAnsi="Arial" w:cs="Arial"/>
        </w:rPr>
        <w:t>mIAB</w:t>
      </w:r>
      <w:proofErr w:type="spellEnd"/>
      <w:r w:rsidRPr="008D1D70">
        <w:rPr>
          <w:rFonts w:ascii="Arial" w:hAnsi="Arial" w:cs="Arial"/>
        </w:rPr>
        <w:t xml:space="preserve">-DU </w:t>
      </w:r>
      <w:r w:rsidR="002C7C5E">
        <w:rPr>
          <w:rFonts w:ascii="Arial" w:hAnsi="Arial" w:cs="Arial"/>
        </w:rPr>
        <w:t>migration</w:t>
      </w:r>
      <w:r w:rsidRPr="008D1D70">
        <w:rPr>
          <w:rFonts w:ascii="Arial" w:hAnsi="Arial" w:cs="Arial"/>
        </w:rPr>
        <w:t xml:space="preserve">, with the risk of increased </w:t>
      </w:r>
      <w:proofErr w:type="spellStart"/>
      <w:r w:rsidRPr="008D1D70">
        <w:rPr>
          <w:rFonts w:ascii="Arial" w:hAnsi="Arial" w:cs="Arial"/>
        </w:rPr>
        <w:t>mIAB</w:t>
      </w:r>
      <w:proofErr w:type="spellEnd"/>
      <w:r w:rsidRPr="008D1D70">
        <w:rPr>
          <w:rFonts w:ascii="Arial" w:hAnsi="Arial" w:cs="Arial"/>
        </w:rPr>
        <w:t xml:space="preserve">-MT HO failure due to slow HO execution, or this (subsequent) </w:t>
      </w:r>
      <w:proofErr w:type="spellStart"/>
      <w:r w:rsidRPr="008D1D70">
        <w:rPr>
          <w:rFonts w:ascii="Arial" w:hAnsi="Arial" w:cs="Arial"/>
        </w:rPr>
        <w:t>mIAB</w:t>
      </w:r>
      <w:proofErr w:type="spellEnd"/>
      <w:r w:rsidRPr="008D1D70">
        <w:rPr>
          <w:rFonts w:ascii="Arial" w:hAnsi="Arial" w:cs="Arial"/>
        </w:rPr>
        <w:t xml:space="preserve">-MT HO is executed before the </w:t>
      </w:r>
      <w:proofErr w:type="spellStart"/>
      <w:r w:rsidRPr="008D1D70">
        <w:rPr>
          <w:rFonts w:ascii="Arial" w:hAnsi="Arial" w:cs="Arial"/>
        </w:rPr>
        <w:t>mIAB</w:t>
      </w:r>
      <w:proofErr w:type="spellEnd"/>
      <w:r w:rsidRPr="008D1D70">
        <w:rPr>
          <w:rFonts w:ascii="Arial" w:hAnsi="Arial" w:cs="Arial"/>
        </w:rPr>
        <w:t xml:space="preserve">-DU </w:t>
      </w:r>
      <w:r w:rsidR="002C7C5E">
        <w:rPr>
          <w:rFonts w:ascii="Arial" w:hAnsi="Arial" w:cs="Arial"/>
        </w:rPr>
        <w:t>migration</w:t>
      </w:r>
      <w:r w:rsidR="002C7C5E" w:rsidRPr="008D1D70">
        <w:rPr>
          <w:rFonts w:ascii="Arial" w:hAnsi="Arial" w:cs="Arial"/>
        </w:rPr>
        <w:t xml:space="preserve"> </w:t>
      </w:r>
      <w:r w:rsidRPr="008D1D70">
        <w:rPr>
          <w:rFonts w:ascii="Arial" w:hAnsi="Arial" w:cs="Arial"/>
        </w:rPr>
        <w:t xml:space="preserve">is completed, increasing the risk of errors due to unsynchronized state of </w:t>
      </w:r>
      <w:proofErr w:type="spellStart"/>
      <w:r w:rsidRPr="008D1D70">
        <w:rPr>
          <w:rFonts w:ascii="Arial" w:hAnsi="Arial" w:cs="Arial"/>
        </w:rPr>
        <w:t>mIAB</w:t>
      </w:r>
      <w:proofErr w:type="spellEnd"/>
      <w:r w:rsidRPr="008D1D70">
        <w:rPr>
          <w:rFonts w:ascii="Arial" w:hAnsi="Arial" w:cs="Arial"/>
        </w:rPr>
        <w:t xml:space="preserve">-DU’s F1 connection, neither of which is good. </w:t>
      </w:r>
    </w:p>
    <w:p w14:paraId="2B5E10F9" w14:textId="77777777" w:rsidR="003D73E5" w:rsidRPr="008D1D70" w:rsidRDefault="003D73E5" w:rsidP="003D73E5">
      <w:pPr>
        <w:spacing w:before="120" w:after="0"/>
        <w:rPr>
          <w:rFonts w:ascii="Arial" w:hAnsi="Arial" w:cs="Arial"/>
        </w:rPr>
      </w:pPr>
    </w:p>
    <w:p w14:paraId="52BDEDEF" w14:textId="77777777" w:rsidR="003D73E5" w:rsidRDefault="003D73E5" w:rsidP="00FC3DED">
      <w:pPr>
        <w:pStyle w:val="Observation"/>
      </w:pPr>
      <w:bookmarkStart w:id="4" w:name="_Toc127460418"/>
      <w:r>
        <w:t xml:space="preserve">Mandating that the </w:t>
      </w:r>
      <w:proofErr w:type="spellStart"/>
      <w:r>
        <w:t>mIAB</w:t>
      </w:r>
      <w:proofErr w:type="spellEnd"/>
      <w:r>
        <w:t xml:space="preserve">-DU and the served UEs are handed over every time </w:t>
      </w:r>
      <w:r w:rsidRPr="00E72C37">
        <w:t xml:space="preserve">the </w:t>
      </w:r>
      <w:proofErr w:type="spellStart"/>
      <w:r w:rsidRPr="00E72C37">
        <w:t>mIAB</w:t>
      </w:r>
      <w:proofErr w:type="spellEnd"/>
      <w:r w:rsidRPr="00E72C37">
        <w:t xml:space="preserve">-MT is handed over between </w:t>
      </w:r>
      <w:r w:rsidRPr="00F2581B">
        <w:t>donor CUs</w:t>
      </w:r>
      <w:r>
        <w:t xml:space="preserve"> may lead to slowing down of </w:t>
      </w:r>
      <w:proofErr w:type="spellStart"/>
      <w:r>
        <w:t>mIAB</w:t>
      </w:r>
      <w:proofErr w:type="spellEnd"/>
      <w:r>
        <w:t xml:space="preserve">-MT handover (and a possible failure), or to an unsynchronized </w:t>
      </w:r>
      <w:r w:rsidRPr="00AF4DB4">
        <w:t xml:space="preserve">state of </w:t>
      </w:r>
      <w:proofErr w:type="spellStart"/>
      <w:r w:rsidRPr="00AF4DB4">
        <w:t>mIAB</w:t>
      </w:r>
      <w:proofErr w:type="spellEnd"/>
      <w:r w:rsidRPr="00AF4DB4">
        <w:t>-DU’s F1 connection.</w:t>
      </w:r>
      <w:bookmarkEnd w:id="4"/>
    </w:p>
    <w:p w14:paraId="5B5DBC9E" w14:textId="58693F42" w:rsidR="003D73E5" w:rsidRPr="008D1D70" w:rsidRDefault="003D73E5" w:rsidP="003D73E5">
      <w:pPr>
        <w:spacing w:before="120" w:after="0"/>
        <w:rPr>
          <w:rFonts w:ascii="Arial" w:hAnsi="Arial" w:cs="Arial"/>
        </w:rPr>
      </w:pPr>
      <w:r w:rsidRPr="008D1D70">
        <w:rPr>
          <w:rFonts w:ascii="Arial" w:hAnsi="Arial" w:cs="Arial"/>
        </w:rPr>
        <w:t xml:space="preserve">Finally, joint </w:t>
      </w:r>
      <w:proofErr w:type="spellStart"/>
      <w:r w:rsidRPr="008D1D70">
        <w:rPr>
          <w:rFonts w:ascii="Arial" w:hAnsi="Arial" w:cs="Arial"/>
        </w:rPr>
        <w:t>mIAB</w:t>
      </w:r>
      <w:proofErr w:type="spellEnd"/>
      <w:r w:rsidRPr="008D1D70">
        <w:rPr>
          <w:rFonts w:ascii="Arial" w:hAnsi="Arial" w:cs="Arial"/>
        </w:rPr>
        <w:t xml:space="preserve">-MT </w:t>
      </w:r>
      <w:r w:rsidR="00C70959">
        <w:rPr>
          <w:rFonts w:ascii="Arial" w:hAnsi="Arial" w:cs="Arial"/>
        </w:rPr>
        <w:t xml:space="preserve">HO </w:t>
      </w:r>
      <w:r w:rsidRPr="008D1D70">
        <w:rPr>
          <w:rFonts w:ascii="Arial" w:hAnsi="Arial" w:cs="Arial"/>
        </w:rPr>
        <w:t xml:space="preserve">and </w:t>
      </w:r>
      <w:proofErr w:type="spellStart"/>
      <w:r w:rsidRPr="008D1D70">
        <w:rPr>
          <w:rFonts w:ascii="Arial" w:hAnsi="Arial" w:cs="Arial"/>
        </w:rPr>
        <w:t>mIAB</w:t>
      </w:r>
      <w:proofErr w:type="spellEnd"/>
      <w:r w:rsidRPr="008D1D70">
        <w:rPr>
          <w:rFonts w:ascii="Arial" w:hAnsi="Arial" w:cs="Arial"/>
        </w:rPr>
        <w:t xml:space="preserve">-DU </w:t>
      </w:r>
      <w:r w:rsidR="00C70959">
        <w:rPr>
          <w:rFonts w:ascii="Arial" w:hAnsi="Arial" w:cs="Arial"/>
        </w:rPr>
        <w:t>migration</w:t>
      </w:r>
      <w:r w:rsidR="00C70959" w:rsidRPr="008D1D70">
        <w:rPr>
          <w:rFonts w:ascii="Arial" w:hAnsi="Arial" w:cs="Arial"/>
        </w:rPr>
        <w:t xml:space="preserve"> </w:t>
      </w:r>
      <w:r w:rsidRPr="008D1D70">
        <w:rPr>
          <w:rFonts w:ascii="Arial" w:hAnsi="Arial" w:cs="Arial"/>
        </w:rPr>
        <w:t xml:space="preserve">may fail in case the </w:t>
      </w:r>
      <w:proofErr w:type="spellStart"/>
      <w:r w:rsidRPr="008D1D70">
        <w:rPr>
          <w:rFonts w:ascii="Arial" w:hAnsi="Arial" w:cs="Arial"/>
        </w:rPr>
        <w:t>mIAB</w:t>
      </w:r>
      <w:proofErr w:type="spellEnd"/>
      <w:r w:rsidRPr="008D1D70">
        <w:rPr>
          <w:rFonts w:ascii="Arial" w:hAnsi="Arial" w:cs="Arial"/>
        </w:rPr>
        <w:t xml:space="preserve">-MT is successfully handed over, but it turns out that the </w:t>
      </w:r>
      <w:r w:rsidR="00C70959">
        <w:rPr>
          <w:rFonts w:ascii="Arial" w:hAnsi="Arial" w:cs="Arial"/>
        </w:rPr>
        <w:t>F1-terminating</w:t>
      </w:r>
      <w:r w:rsidR="00C70959" w:rsidRPr="008D1D70">
        <w:rPr>
          <w:rFonts w:ascii="Arial" w:hAnsi="Arial" w:cs="Arial"/>
        </w:rPr>
        <w:t xml:space="preserve"> </w:t>
      </w:r>
      <w:r w:rsidRPr="008D1D70">
        <w:rPr>
          <w:rFonts w:ascii="Arial" w:hAnsi="Arial" w:cs="Arial"/>
        </w:rPr>
        <w:t xml:space="preserve">target donor CU cannot accept the </w:t>
      </w:r>
      <w:proofErr w:type="spellStart"/>
      <w:r w:rsidRPr="008D1D70">
        <w:rPr>
          <w:rFonts w:ascii="Arial" w:hAnsi="Arial" w:cs="Arial"/>
        </w:rPr>
        <w:t>mIAB</w:t>
      </w:r>
      <w:proofErr w:type="spellEnd"/>
      <w:r w:rsidRPr="008D1D70">
        <w:rPr>
          <w:rFonts w:ascii="Arial" w:hAnsi="Arial" w:cs="Arial"/>
        </w:rPr>
        <w:t xml:space="preserve">-DU (e.g., for reasons of traffic load or service latency). </w:t>
      </w:r>
    </w:p>
    <w:p w14:paraId="3619EE96" w14:textId="77777777" w:rsidR="003D73E5" w:rsidRDefault="003D73E5" w:rsidP="003D73E5">
      <w:pPr>
        <w:spacing w:before="120" w:after="0"/>
        <w:rPr>
          <w:rFonts w:asciiTheme="minorHAnsi" w:hAnsiTheme="minorHAnsi" w:cstheme="minorHAnsi"/>
          <w:sz w:val="22"/>
          <w:szCs w:val="22"/>
        </w:rPr>
      </w:pPr>
    </w:p>
    <w:p w14:paraId="1BE2CDA1" w14:textId="180AF477" w:rsidR="003D73E5" w:rsidRPr="00467692" w:rsidRDefault="003D73E5" w:rsidP="00FC3DED">
      <w:pPr>
        <w:pStyle w:val="Observation"/>
      </w:pPr>
      <w:bookmarkStart w:id="5" w:name="_Toc127460419"/>
      <w:r>
        <w:t xml:space="preserve">A </w:t>
      </w:r>
      <w:r w:rsidRPr="00FC3DED">
        <w:t>joint</w:t>
      </w:r>
      <w:r w:rsidRPr="00D30553">
        <w:t xml:space="preserve"> </w:t>
      </w:r>
      <w:proofErr w:type="spellStart"/>
      <w:r w:rsidRPr="00D30553">
        <w:t>mIAB</w:t>
      </w:r>
      <w:proofErr w:type="spellEnd"/>
      <w:r w:rsidRPr="00D30553">
        <w:t xml:space="preserve">-MT and </w:t>
      </w:r>
      <w:proofErr w:type="spellStart"/>
      <w:r w:rsidRPr="00D30553">
        <w:t>mIAB</w:t>
      </w:r>
      <w:proofErr w:type="spellEnd"/>
      <w:r w:rsidRPr="00D30553">
        <w:t xml:space="preserve">-DU HO may fail in case the </w:t>
      </w:r>
      <w:proofErr w:type="spellStart"/>
      <w:r w:rsidRPr="00D30553">
        <w:t>mIAB</w:t>
      </w:r>
      <w:proofErr w:type="spellEnd"/>
      <w:r w:rsidRPr="00D30553">
        <w:t xml:space="preserve">-MT is successfully handed over, but it turns out that the target donor CU cannot accept the </w:t>
      </w:r>
      <w:proofErr w:type="spellStart"/>
      <w:r w:rsidRPr="00D30553">
        <w:t>mIAB</w:t>
      </w:r>
      <w:proofErr w:type="spellEnd"/>
      <w:r w:rsidRPr="00D30553">
        <w:t>-DU (e.g., for reasons of traffic load or service latency).</w:t>
      </w:r>
      <w:bookmarkEnd w:id="5"/>
      <w:r w:rsidRPr="00D30553">
        <w:t xml:space="preserve"> </w:t>
      </w:r>
    </w:p>
    <w:p w14:paraId="66F76ADC" w14:textId="40F20B1A" w:rsidR="003D73E5" w:rsidRDefault="003D73E5" w:rsidP="003D73E5">
      <w:pPr>
        <w:rPr>
          <w:rFonts w:ascii="Arial" w:hAnsi="Arial" w:cs="Arial"/>
        </w:rPr>
      </w:pPr>
      <w:r w:rsidRPr="004419FB">
        <w:rPr>
          <w:rFonts w:ascii="Arial" w:hAnsi="Arial" w:cs="Arial"/>
        </w:rPr>
        <w:t xml:space="preserve">Due to the above, we think that </w:t>
      </w:r>
      <w:r>
        <w:rPr>
          <w:rFonts w:ascii="Arial" w:hAnsi="Arial" w:cs="Arial"/>
        </w:rPr>
        <w:t>a solution that</w:t>
      </w:r>
      <w:r w:rsidRPr="004419FB">
        <w:rPr>
          <w:rFonts w:ascii="Arial" w:hAnsi="Arial" w:cs="Arial"/>
        </w:rPr>
        <w:t xml:space="preserve"> support the </w:t>
      </w:r>
      <w:r w:rsidRPr="004419FB">
        <w:rPr>
          <w:rFonts w:ascii="Arial" w:hAnsi="Arial" w:cs="Arial"/>
          <w:b/>
          <w:bCs/>
        </w:rPr>
        <w:t xml:space="preserve">decoupling the HOs of an </w:t>
      </w:r>
      <w:proofErr w:type="spellStart"/>
      <w:r w:rsidRPr="004419FB">
        <w:rPr>
          <w:rFonts w:ascii="Arial" w:hAnsi="Arial" w:cs="Arial"/>
          <w:b/>
          <w:bCs/>
        </w:rPr>
        <w:t>mIAB</w:t>
      </w:r>
      <w:proofErr w:type="spellEnd"/>
      <w:r w:rsidRPr="004419FB">
        <w:rPr>
          <w:rFonts w:ascii="Arial" w:hAnsi="Arial" w:cs="Arial"/>
          <w:b/>
          <w:bCs/>
        </w:rPr>
        <w:t xml:space="preserve">-DU from the HOs of the co-located </w:t>
      </w:r>
      <w:proofErr w:type="spellStart"/>
      <w:r w:rsidRPr="004419FB">
        <w:rPr>
          <w:rFonts w:ascii="Arial" w:hAnsi="Arial" w:cs="Arial"/>
          <w:b/>
          <w:bCs/>
        </w:rPr>
        <w:t>mIAB</w:t>
      </w:r>
      <w:proofErr w:type="spellEnd"/>
      <w:r w:rsidRPr="004419FB">
        <w:rPr>
          <w:rFonts w:ascii="Arial" w:hAnsi="Arial" w:cs="Arial"/>
          <w:b/>
          <w:bCs/>
        </w:rPr>
        <w:t>-MT</w:t>
      </w:r>
      <w:r w:rsidRPr="00A17104">
        <w:rPr>
          <w:rFonts w:ascii="Arial" w:hAnsi="Arial" w:cs="Arial"/>
        </w:rPr>
        <w:t xml:space="preserve"> would</w:t>
      </w:r>
      <w:r>
        <w:rPr>
          <w:rFonts w:ascii="Arial" w:hAnsi="Arial" w:cs="Arial"/>
        </w:rPr>
        <w:t xml:space="preserve"> bring huge benefits </w:t>
      </w:r>
      <w:r w:rsidR="00974E58">
        <w:rPr>
          <w:rFonts w:ascii="Arial" w:hAnsi="Arial" w:cs="Arial"/>
        </w:rPr>
        <w:t xml:space="preserve">in terms of </w:t>
      </w:r>
      <w:r w:rsidR="007C5D64">
        <w:rPr>
          <w:rFonts w:ascii="Arial" w:hAnsi="Arial" w:cs="Arial"/>
        </w:rPr>
        <w:t xml:space="preserve">e.g., </w:t>
      </w:r>
      <w:r w:rsidR="00974E58">
        <w:rPr>
          <w:rFonts w:ascii="Arial" w:hAnsi="Arial" w:cs="Arial"/>
        </w:rPr>
        <w:t>reliable service, guaranteed HO</w:t>
      </w:r>
      <w:r w:rsidR="007C5D64">
        <w:rPr>
          <w:rFonts w:ascii="Arial" w:hAnsi="Arial" w:cs="Arial"/>
        </w:rPr>
        <w:t xml:space="preserve"> </w:t>
      </w:r>
      <w:r>
        <w:rPr>
          <w:rFonts w:ascii="Arial" w:hAnsi="Arial" w:cs="Arial"/>
        </w:rPr>
        <w:t>to mitigate the mentioned issues</w:t>
      </w:r>
      <w:r w:rsidRPr="004419FB">
        <w:rPr>
          <w:rFonts w:ascii="Arial" w:hAnsi="Arial" w:cs="Arial"/>
        </w:rPr>
        <w:t xml:space="preserve">. </w:t>
      </w:r>
      <w:r>
        <w:rPr>
          <w:rFonts w:ascii="Arial" w:hAnsi="Arial" w:cs="Arial"/>
        </w:rPr>
        <w:t>Here, t</w:t>
      </w:r>
      <w:r w:rsidRPr="004419FB">
        <w:rPr>
          <w:rFonts w:ascii="Arial" w:hAnsi="Arial" w:cs="Arial"/>
        </w:rPr>
        <w:t xml:space="preserve">he </w:t>
      </w:r>
      <w:r w:rsidRPr="004419FB">
        <w:rPr>
          <w:rFonts w:ascii="Arial" w:hAnsi="Arial" w:cs="Arial"/>
          <w:i/>
          <w:iCs/>
        </w:rPr>
        <w:t>decoupling</w:t>
      </w:r>
      <w:r w:rsidRPr="004419FB">
        <w:rPr>
          <w:rFonts w:ascii="Arial" w:hAnsi="Arial" w:cs="Arial"/>
        </w:rPr>
        <w:t xml:space="preserve"> means that it should be possible to execute </w:t>
      </w:r>
      <w:proofErr w:type="spellStart"/>
      <w:r w:rsidRPr="004419FB">
        <w:rPr>
          <w:rFonts w:ascii="Arial" w:hAnsi="Arial" w:cs="Arial"/>
        </w:rPr>
        <w:t>mIAB</w:t>
      </w:r>
      <w:proofErr w:type="spellEnd"/>
      <w:r w:rsidRPr="004419FB">
        <w:rPr>
          <w:rFonts w:ascii="Arial" w:hAnsi="Arial" w:cs="Arial"/>
        </w:rPr>
        <w:t xml:space="preserve">-MT and </w:t>
      </w:r>
      <w:proofErr w:type="spellStart"/>
      <w:r w:rsidRPr="004419FB">
        <w:rPr>
          <w:rFonts w:ascii="Arial" w:hAnsi="Arial" w:cs="Arial"/>
        </w:rPr>
        <w:t>mIAB</w:t>
      </w:r>
      <w:proofErr w:type="spellEnd"/>
      <w:r w:rsidRPr="004419FB">
        <w:rPr>
          <w:rFonts w:ascii="Arial" w:hAnsi="Arial" w:cs="Arial"/>
        </w:rPr>
        <w:t xml:space="preserve">-DU HOs independently of each other, meaning that, at any time, the </w:t>
      </w:r>
      <w:proofErr w:type="spellStart"/>
      <w:r w:rsidRPr="004419FB">
        <w:rPr>
          <w:rFonts w:ascii="Arial" w:hAnsi="Arial" w:cs="Arial"/>
        </w:rPr>
        <w:t>mIAB</w:t>
      </w:r>
      <w:proofErr w:type="spellEnd"/>
      <w:r w:rsidRPr="004419FB">
        <w:rPr>
          <w:rFonts w:ascii="Arial" w:hAnsi="Arial" w:cs="Arial"/>
        </w:rPr>
        <w:t xml:space="preserve">-MT could be served by a donor CU different than the donor CU serving the </w:t>
      </w:r>
      <w:proofErr w:type="spellStart"/>
      <w:r w:rsidRPr="004419FB">
        <w:rPr>
          <w:rFonts w:ascii="Arial" w:hAnsi="Arial" w:cs="Arial"/>
        </w:rPr>
        <w:t>mIAB</w:t>
      </w:r>
      <w:proofErr w:type="spellEnd"/>
      <w:r w:rsidRPr="004419FB">
        <w:rPr>
          <w:rFonts w:ascii="Arial" w:hAnsi="Arial" w:cs="Arial"/>
        </w:rPr>
        <w:t xml:space="preserve">-DU. </w:t>
      </w:r>
    </w:p>
    <w:p w14:paraId="3CCB5DCD" w14:textId="77777777" w:rsidR="003D73E5" w:rsidRDefault="003D73E5" w:rsidP="00FC3DED">
      <w:pPr>
        <w:pStyle w:val="Observation"/>
      </w:pPr>
      <w:bookmarkStart w:id="6" w:name="_Toc127460420"/>
      <w:r>
        <w:t xml:space="preserve">Decoupling </w:t>
      </w:r>
      <w:r w:rsidRPr="00A17104">
        <w:t xml:space="preserve">the HOs of an </w:t>
      </w:r>
      <w:proofErr w:type="spellStart"/>
      <w:r w:rsidRPr="00A17104">
        <w:t>mIAB</w:t>
      </w:r>
      <w:proofErr w:type="spellEnd"/>
      <w:r w:rsidRPr="00A17104">
        <w:t xml:space="preserve">-DU from the HOs of the co-located </w:t>
      </w:r>
      <w:proofErr w:type="spellStart"/>
      <w:r w:rsidRPr="00A17104">
        <w:t>mIAB</w:t>
      </w:r>
      <w:proofErr w:type="spellEnd"/>
      <w:r w:rsidRPr="00A17104">
        <w:t>-MT would bring huge benefits to mitigate</w:t>
      </w:r>
      <w:r>
        <w:t xml:space="preserve"> connectivity interruptions and handover failure.</w:t>
      </w:r>
      <w:bookmarkEnd w:id="6"/>
      <w:r>
        <w:t xml:space="preserve"> </w:t>
      </w:r>
    </w:p>
    <w:p w14:paraId="60DA602E" w14:textId="77777777" w:rsidR="003D73E5" w:rsidRPr="00A17104" w:rsidRDefault="003D73E5" w:rsidP="00FC3DED">
      <w:pPr>
        <w:pStyle w:val="Observation"/>
        <w:rPr>
          <w:rFonts w:cs="Arial"/>
        </w:rPr>
      </w:pPr>
      <w:bookmarkStart w:id="7" w:name="_Toc127460421"/>
      <w:r>
        <w:t>It could be advantageous to offer the hosting of a mobile IAB-DU to a dedicated CU that would always anchor/terminate the F1 connection.</w:t>
      </w:r>
      <w:bookmarkEnd w:id="7"/>
    </w:p>
    <w:p w14:paraId="34A8B554" w14:textId="66A8C79E" w:rsidR="003D73E5" w:rsidRPr="005404D2" w:rsidRDefault="003D73E5" w:rsidP="003D73E5">
      <w:pPr>
        <w:pStyle w:val="BodyText"/>
      </w:pPr>
      <w:r>
        <w:t>However, since s</w:t>
      </w:r>
      <w:r w:rsidRPr="00D12C9F">
        <w:t xml:space="preserve">uch a discussion rather falls into the domain of RAN3, </w:t>
      </w:r>
      <w:proofErr w:type="gramStart"/>
      <w:r>
        <w:t>in order for</w:t>
      </w:r>
      <w:proofErr w:type="gramEnd"/>
      <w:r>
        <w:t xml:space="preserve"> RAN2 to make progresses</w:t>
      </w:r>
      <w:r w:rsidR="00C70959">
        <w:t>,</w:t>
      </w:r>
      <w:r>
        <w:t xml:space="preserve"> </w:t>
      </w:r>
      <w:r w:rsidRPr="00D12C9F">
        <w:t>we should</w:t>
      </w:r>
      <w:r>
        <w:t xml:space="preserve"> first</w:t>
      </w:r>
      <w:r w:rsidRPr="00D12C9F">
        <w:t xml:space="preserve"> wait for RAN3 to </w:t>
      </w:r>
      <w:r>
        <w:t>agree</w:t>
      </w:r>
      <w:r w:rsidRPr="00D12C9F">
        <w:t xml:space="preserve"> on architecture/migration </w:t>
      </w:r>
      <w:r>
        <w:t>features</w:t>
      </w:r>
      <w:r w:rsidRPr="00D12C9F">
        <w:t xml:space="preserve"> before we discuss further migration procedures in RAN2</w:t>
      </w:r>
      <w:r w:rsidRPr="0031105D">
        <w:t>. Thus, we propose:</w:t>
      </w:r>
    </w:p>
    <w:p w14:paraId="47413194" w14:textId="77777777" w:rsidR="003D73E5" w:rsidRPr="00A04F49" w:rsidRDefault="003D73E5" w:rsidP="003D73E5">
      <w:pPr>
        <w:pStyle w:val="Proposal"/>
        <w:jc w:val="left"/>
      </w:pPr>
      <w:bookmarkStart w:id="8" w:name="_Toc127460424"/>
      <w:r>
        <w:t>RAN2 to wait for RAN3 to progress on architecture/migration updates</w:t>
      </w:r>
      <w:r w:rsidDel="00350DC2">
        <w:t>.</w:t>
      </w:r>
      <w:bookmarkEnd w:id="8"/>
    </w:p>
    <w:p w14:paraId="2B17E158" w14:textId="77777777" w:rsidR="003D73E5" w:rsidRPr="00EE424A" w:rsidRDefault="003D73E5" w:rsidP="003D73E5"/>
    <w:p w14:paraId="4E2CB9FF" w14:textId="77777777" w:rsidR="003D73E5" w:rsidRPr="00CE0424" w:rsidRDefault="003D73E5" w:rsidP="003D73E5">
      <w:pPr>
        <w:pStyle w:val="Heading1"/>
      </w:pPr>
      <w:r>
        <w:t>3</w:t>
      </w:r>
      <w:r>
        <w:tab/>
      </w:r>
      <w:r w:rsidRPr="00CE0424">
        <w:t>Conclusion</w:t>
      </w:r>
    </w:p>
    <w:p w14:paraId="24E83AFD" w14:textId="77777777" w:rsidR="003D73E5" w:rsidRDefault="003D73E5" w:rsidP="003D73E5">
      <w:pPr>
        <w:pStyle w:val="BodyText"/>
        <w:rPr>
          <w:b/>
          <w:bCs/>
        </w:rPr>
      </w:pPr>
      <w:r>
        <w:t>In the previous sections</w:t>
      </w:r>
      <w:r w:rsidRPr="00CE0424">
        <w:t xml:space="preserve"> we </w:t>
      </w:r>
      <w:r>
        <w:t>made the following observations</w:t>
      </w:r>
      <w:r w:rsidRPr="00CE0424">
        <w:t>:</w:t>
      </w:r>
      <w:r>
        <w:rPr>
          <w:b/>
          <w:bCs/>
        </w:rPr>
        <w:t xml:space="preserve"> </w:t>
      </w:r>
    </w:p>
    <w:p w14:paraId="440EE893" w14:textId="08610B4F" w:rsidR="007C5D64" w:rsidRDefault="003D73E5">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27460417" w:history="1">
        <w:r w:rsidR="007C5D64" w:rsidRPr="007A0032">
          <w:rPr>
            <w:rStyle w:val="Hyperlink"/>
            <w:noProof/>
          </w:rPr>
          <w:t>Observation 1</w:t>
        </w:r>
        <w:r w:rsidR="007C5D64">
          <w:rPr>
            <w:rFonts w:asciiTheme="minorHAnsi" w:eastAsiaTheme="minorEastAsia" w:hAnsiTheme="minorHAnsi" w:cstheme="minorBidi"/>
            <w:b w:val="0"/>
            <w:noProof/>
            <w:sz w:val="22"/>
            <w:szCs w:val="22"/>
            <w:lang w:val="en-SE" w:eastAsia="en-SE"/>
          </w:rPr>
          <w:tab/>
        </w:r>
        <w:r w:rsidR="007C5D64" w:rsidRPr="007A0032">
          <w:rPr>
            <w:rStyle w:val="Hyperlink"/>
            <w:noProof/>
          </w:rPr>
          <w:t>Mandating that the mIAB-DU and the served UEs are handed over every time the mIAB-MT is handed over between donor CUs, would imply frequent and complex reconfigurations with a significant impact on the connected UEs due to the change of the serving donor CU.</w:t>
        </w:r>
      </w:hyperlink>
    </w:p>
    <w:p w14:paraId="0AFD2426" w14:textId="061DB146" w:rsidR="007C5D64" w:rsidRDefault="0000000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60418" w:history="1">
        <w:r w:rsidR="007C5D64" w:rsidRPr="007A0032">
          <w:rPr>
            <w:rStyle w:val="Hyperlink"/>
            <w:noProof/>
          </w:rPr>
          <w:t>Observation 2</w:t>
        </w:r>
        <w:r w:rsidR="007C5D64">
          <w:rPr>
            <w:rFonts w:asciiTheme="minorHAnsi" w:eastAsiaTheme="minorEastAsia" w:hAnsiTheme="minorHAnsi" w:cstheme="minorBidi"/>
            <w:b w:val="0"/>
            <w:noProof/>
            <w:sz w:val="22"/>
            <w:szCs w:val="22"/>
            <w:lang w:val="en-SE" w:eastAsia="en-SE"/>
          </w:rPr>
          <w:tab/>
        </w:r>
        <w:r w:rsidR="007C5D64" w:rsidRPr="007A0032">
          <w:rPr>
            <w:rStyle w:val="Hyperlink"/>
            <w:noProof/>
          </w:rPr>
          <w:t>Mandating that the mIAB-DU and the served UEs are handed over every time the mIAB-MT is handed over between donor CUs may lead to slowing down of mIAB-MT handover (and a possible failure), or to an unsynchronized state of mIAB-DU’s F1 connection.</w:t>
        </w:r>
      </w:hyperlink>
    </w:p>
    <w:p w14:paraId="2C6089FE" w14:textId="2AFE275C" w:rsidR="007C5D64" w:rsidRDefault="0000000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60419" w:history="1">
        <w:r w:rsidR="007C5D64" w:rsidRPr="007A0032">
          <w:rPr>
            <w:rStyle w:val="Hyperlink"/>
            <w:noProof/>
          </w:rPr>
          <w:t>Observation 3</w:t>
        </w:r>
        <w:r w:rsidR="007C5D64">
          <w:rPr>
            <w:rFonts w:asciiTheme="minorHAnsi" w:eastAsiaTheme="minorEastAsia" w:hAnsiTheme="minorHAnsi" w:cstheme="minorBidi"/>
            <w:b w:val="0"/>
            <w:noProof/>
            <w:sz w:val="22"/>
            <w:szCs w:val="22"/>
            <w:lang w:val="en-SE" w:eastAsia="en-SE"/>
          </w:rPr>
          <w:tab/>
        </w:r>
        <w:r w:rsidR="007C5D64" w:rsidRPr="007A0032">
          <w:rPr>
            <w:rStyle w:val="Hyperlink"/>
            <w:noProof/>
          </w:rPr>
          <w:t>A joint mIAB-MT and mIAB-DU HO may fail in case the mIAB-MT is successfully handed over, but it turns out that the target donor CU cannot accept the mIAB-DU (e.g., for reasons of traffic load or service latency).</w:t>
        </w:r>
      </w:hyperlink>
    </w:p>
    <w:p w14:paraId="0E9A93FE" w14:textId="652293F3" w:rsidR="007C5D64" w:rsidRDefault="0000000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60420" w:history="1">
        <w:r w:rsidR="007C5D64" w:rsidRPr="007A0032">
          <w:rPr>
            <w:rStyle w:val="Hyperlink"/>
            <w:noProof/>
          </w:rPr>
          <w:t>Observation 4</w:t>
        </w:r>
        <w:r w:rsidR="007C5D64">
          <w:rPr>
            <w:rFonts w:asciiTheme="minorHAnsi" w:eastAsiaTheme="minorEastAsia" w:hAnsiTheme="minorHAnsi" w:cstheme="minorBidi"/>
            <w:b w:val="0"/>
            <w:noProof/>
            <w:sz w:val="22"/>
            <w:szCs w:val="22"/>
            <w:lang w:val="en-SE" w:eastAsia="en-SE"/>
          </w:rPr>
          <w:tab/>
        </w:r>
        <w:r w:rsidR="007C5D64" w:rsidRPr="007A0032">
          <w:rPr>
            <w:rStyle w:val="Hyperlink"/>
            <w:noProof/>
          </w:rPr>
          <w:t>Decoupling the HOs of an mIAB-DU from the HOs of the co-located mIAB-MT would bring huge benefits to mitigate connectivity interruptions and handover failure.</w:t>
        </w:r>
      </w:hyperlink>
    </w:p>
    <w:p w14:paraId="5B2C2C06" w14:textId="6B30C7BC" w:rsidR="007C5D64" w:rsidRDefault="0000000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60421" w:history="1">
        <w:r w:rsidR="007C5D64" w:rsidRPr="007A0032">
          <w:rPr>
            <w:rStyle w:val="Hyperlink"/>
            <w:rFonts w:cs="Arial"/>
            <w:noProof/>
          </w:rPr>
          <w:t>Observation 5</w:t>
        </w:r>
        <w:r w:rsidR="007C5D64">
          <w:rPr>
            <w:rFonts w:asciiTheme="minorHAnsi" w:eastAsiaTheme="minorEastAsia" w:hAnsiTheme="minorHAnsi" w:cstheme="minorBidi"/>
            <w:b w:val="0"/>
            <w:noProof/>
            <w:sz w:val="22"/>
            <w:szCs w:val="22"/>
            <w:lang w:val="en-SE" w:eastAsia="en-SE"/>
          </w:rPr>
          <w:tab/>
        </w:r>
        <w:r w:rsidR="007C5D64" w:rsidRPr="007A0032">
          <w:rPr>
            <w:rStyle w:val="Hyperlink"/>
            <w:noProof/>
          </w:rPr>
          <w:t>It could be advantageous to offer the hosting of a mobile IAB-DU to a dedicated CU that would always anchor/terminate the F1 connection.</w:t>
        </w:r>
      </w:hyperlink>
    </w:p>
    <w:p w14:paraId="40B4060D" w14:textId="48A1B739" w:rsidR="003D73E5" w:rsidRDefault="003D73E5" w:rsidP="003D73E5">
      <w:pPr>
        <w:pStyle w:val="BodyText"/>
        <w:rPr>
          <w:b/>
          <w:bCs/>
        </w:rPr>
      </w:pPr>
      <w:r>
        <w:rPr>
          <w:b/>
          <w:bCs/>
        </w:rPr>
        <w:fldChar w:fldCharType="end"/>
      </w:r>
    </w:p>
    <w:p w14:paraId="5558E7AE" w14:textId="77777777" w:rsidR="003D73E5" w:rsidRDefault="003D73E5" w:rsidP="003D73E5">
      <w:pPr>
        <w:pStyle w:val="BodyText"/>
      </w:pPr>
      <w:r w:rsidRPr="00CE0424">
        <w:t xml:space="preserve">Based on the discussion in </w:t>
      </w:r>
      <w:r>
        <w:t xml:space="preserve">the previous </w:t>
      </w:r>
      <w:r w:rsidRPr="00CE0424">
        <w:t>section</w:t>
      </w:r>
      <w:r>
        <w:t>s</w:t>
      </w:r>
      <w:r w:rsidRPr="00CE0424">
        <w:t xml:space="preserve"> we propose the following:</w:t>
      </w:r>
    </w:p>
    <w:p w14:paraId="2FC52CB1" w14:textId="15CD73C2" w:rsidR="007C5D64" w:rsidRDefault="003D73E5">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7460422" w:history="1">
        <w:r w:rsidR="007C5D64" w:rsidRPr="00FD1740">
          <w:rPr>
            <w:rStyle w:val="Hyperlink"/>
            <w:noProof/>
          </w:rPr>
          <w:t>Proposal 1</w:t>
        </w:r>
        <w:r w:rsidR="007C5D64">
          <w:rPr>
            <w:rFonts w:asciiTheme="minorHAnsi" w:eastAsiaTheme="minorEastAsia" w:hAnsiTheme="minorHAnsi" w:cstheme="minorBidi"/>
            <w:b w:val="0"/>
            <w:noProof/>
            <w:sz w:val="22"/>
            <w:szCs w:val="22"/>
            <w:lang w:val="en-SE" w:eastAsia="en-SE"/>
          </w:rPr>
          <w:tab/>
        </w:r>
        <w:r w:rsidR="007C5D64" w:rsidRPr="00FD1740">
          <w:rPr>
            <w:rStyle w:val="Hyperlink"/>
            <w:noProof/>
          </w:rPr>
          <w:t>Mobile-IAB cells (i.e., mIAB-DU) mirror the same TAC/RANAC that mobile-IAB-MT selects.</w:t>
        </w:r>
      </w:hyperlink>
    </w:p>
    <w:p w14:paraId="3A504E0E" w14:textId="458781AD" w:rsidR="007C5D64" w:rsidRDefault="0000000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60423" w:history="1">
        <w:r w:rsidR="007C5D64" w:rsidRPr="00FD1740">
          <w:rPr>
            <w:rStyle w:val="Hyperlink"/>
            <w:noProof/>
          </w:rPr>
          <w:t>Proposal 2</w:t>
        </w:r>
        <w:r w:rsidR="007C5D64">
          <w:rPr>
            <w:rFonts w:asciiTheme="minorHAnsi" w:eastAsiaTheme="minorEastAsia" w:hAnsiTheme="minorHAnsi" w:cstheme="minorBidi"/>
            <w:b w:val="0"/>
            <w:noProof/>
            <w:sz w:val="22"/>
            <w:szCs w:val="22"/>
            <w:lang w:val="en-SE" w:eastAsia="en-SE"/>
          </w:rPr>
          <w:tab/>
        </w:r>
        <w:r w:rsidR="007C5D64" w:rsidRPr="00FD1740">
          <w:rPr>
            <w:rStyle w:val="Hyperlink"/>
            <w:noProof/>
          </w:rPr>
          <w:t>RAN2 to wait SA2 progresses about the new CAG functionality for mobile IAB.</w:t>
        </w:r>
      </w:hyperlink>
    </w:p>
    <w:p w14:paraId="35CF3B10" w14:textId="19007719" w:rsidR="007C5D64" w:rsidRDefault="0000000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60424" w:history="1">
        <w:r w:rsidR="007C5D64" w:rsidRPr="00FD1740">
          <w:rPr>
            <w:rStyle w:val="Hyperlink"/>
            <w:noProof/>
          </w:rPr>
          <w:t>Proposal 3</w:t>
        </w:r>
        <w:r w:rsidR="007C5D64">
          <w:rPr>
            <w:rFonts w:asciiTheme="minorHAnsi" w:eastAsiaTheme="minorEastAsia" w:hAnsiTheme="minorHAnsi" w:cstheme="minorBidi"/>
            <w:b w:val="0"/>
            <w:noProof/>
            <w:sz w:val="22"/>
            <w:szCs w:val="22"/>
            <w:lang w:val="en-SE" w:eastAsia="en-SE"/>
          </w:rPr>
          <w:tab/>
        </w:r>
        <w:r w:rsidR="007C5D64" w:rsidRPr="00FD1740">
          <w:rPr>
            <w:rStyle w:val="Hyperlink"/>
            <w:noProof/>
          </w:rPr>
          <w:t>RAN2 to wait for RAN3 to progress on architecture/migration updates.</w:t>
        </w:r>
      </w:hyperlink>
    </w:p>
    <w:p w14:paraId="3F07A3EF" w14:textId="6A19B5B1" w:rsidR="003D73E5" w:rsidRPr="00CE0424" w:rsidRDefault="003D73E5" w:rsidP="003D73E5">
      <w:pPr>
        <w:pStyle w:val="BodyText"/>
      </w:pPr>
      <w:r>
        <w:rPr>
          <w:b/>
          <w:bCs/>
          <w:lang w:val="en-US"/>
        </w:rPr>
        <w:fldChar w:fldCharType="end"/>
      </w:r>
    </w:p>
    <w:p w14:paraId="2328E530" w14:textId="77777777" w:rsidR="003D73E5" w:rsidRPr="00CE0424" w:rsidRDefault="003D73E5" w:rsidP="003D73E5">
      <w:pPr>
        <w:pStyle w:val="Heading1"/>
      </w:pPr>
      <w:bookmarkStart w:id="9" w:name="_In-sequence_SDU_delivery"/>
      <w:bookmarkEnd w:id="9"/>
      <w:r>
        <w:t>4</w:t>
      </w:r>
      <w:r>
        <w:tab/>
      </w:r>
      <w:r w:rsidRPr="00CE0424">
        <w:t>References</w:t>
      </w:r>
    </w:p>
    <w:bookmarkStart w:id="10" w:name="_Ref174151459"/>
    <w:bookmarkStart w:id="11" w:name="_Ref189809556"/>
    <w:p w14:paraId="72ED2259" w14:textId="77777777" w:rsidR="003D73E5" w:rsidRPr="00C02250" w:rsidRDefault="003D73E5" w:rsidP="003D73E5">
      <w:pPr>
        <w:pStyle w:val="Reference"/>
        <w:rPr>
          <w:bCs/>
        </w:rPr>
      </w:pPr>
      <w:r>
        <w:rPr>
          <w:rFonts w:cs="Arial"/>
          <w:bCs/>
          <w:noProof/>
        </w:rPr>
        <w:fldChar w:fldCharType="begin"/>
      </w:r>
      <w:r>
        <w:rPr>
          <w:rFonts w:cs="Arial"/>
          <w:bCs/>
          <w:noProof/>
        </w:rPr>
        <w:instrText xml:space="preserve"> HYPERLINK "http://www.3gpp.org/ftp//tsg_sa/WG2_Arch/TSGS2_151E_Electronic_2022-05/Docs/</w:instrText>
      </w:r>
      <w:r>
        <w:rPr>
          <w:rFonts w:cs="Arial"/>
          <w:bCs/>
          <w:noProof/>
        </w:rPr>
        <w:cr/>
        <w:instrText xml:space="preserve">S2-2204993.zip" </w:instrText>
      </w:r>
      <w:r>
        <w:rPr>
          <w:rFonts w:cs="Arial"/>
          <w:bCs/>
          <w:noProof/>
        </w:rPr>
        <w:fldChar w:fldCharType="separate"/>
      </w:r>
      <w:r w:rsidRPr="00A65766">
        <w:rPr>
          <w:rStyle w:val="Hyperlink"/>
          <w:rFonts w:cs="Arial"/>
          <w:bCs/>
          <w:noProof/>
        </w:rPr>
        <w:t>S2-2204993</w:t>
      </w:r>
      <w:r>
        <w:rPr>
          <w:rFonts w:cs="Arial"/>
          <w:bCs/>
          <w:noProof/>
        </w:rPr>
        <w:fldChar w:fldCharType="end"/>
      </w:r>
      <w:r w:rsidRPr="00C02250">
        <w:rPr>
          <w:rFonts w:cs="Arial"/>
          <w:bCs/>
          <w:noProof/>
        </w:rPr>
        <w:t xml:space="preserve">, </w:t>
      </w:r>
      <w:r>
        <w:rPr>
          <w:rFonts w:cs="Arial"/>
          <w:bCs/>
          <w:noProof/>
        </w:rPr>
        <w:t>“</w:t>
      </w:r>
      <w:r w:rsidRPr="00C02250">
        <w:rPr>
          <w:rFonts w:cs="Arial"/>
          <w:bCs/>
        </w:rPr>
        <w:t>23.700-55: Solution for KI#3; IAB optimization for Mobile Base Station Relays</w:t>
      </w:r>
      <w:r>
        <w:rPr>
          <w:rFonts w:cs="Arial"/>
          <w:bCs/>
        </w:rPr>
        <w:t>”</w:t>
      </w:r>
      <w:r w:rsidRPr="00C02250">
        <w:rPr>
          <w:rFonts w:cs="Arial"/>
          <w:bCs/>
        </w:rPr>
        <w:t>, Nokia, May 2022</w:t>
      </w:r>
    </w:p>
    <w:p w14:paraId="0E4BAE37" w14:textId="77777777" w:rsidR="003D73E5" w:rsidRPr="00CE0424" w:rsidRDefault="00000000" w:rsidP="003D73E5">
      <w:pPr>
        <w:pStyle w:val="Reference"/>
      </w:pPr>
      <w:hyperlink r:id="rId12" w:history="1">
        <w:r w:rsidR="003D73E5" w:rsidRPr="00A65766">
          <w:rPr>
            <w:rStyle w:val="Hyperlink"/>
          </w:rPr>
          <w:t>RP-221815</w:t>
        </w:r>
      </w:hyperlink>
      <w:r w:rsidR="003D73E5">
        <w:t>, WID on Mobile IAB for NR, 3GPP TSG RAN#96, Budapest, Hungary, June 2022</w:t>
      </w:r>
      <w:bookmarkEnd w:id="10"/>
      <w:bookmarkEnd w:id="11"/>
    </w:p>
    <w:p w14:paraId="5DCC939F" w14:textId="7994466B" w:rsidR="003A7EF3" w:rsidRPr="003D73E5" w:rsidRDefault="003A7EF3" w:rsidP="003D73E5"/>
    <w:sectPr w:rsidR="003A7EF3" w:rsidRPr="003D73E5"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50922" w14:textId="77777777" w:rsidR="00D62338" w:rsidRDefault="00D62338">
      <w:r>
        <w:separator/>
      </w:r>
    </w:p>
  </w:endnote>
  <w:endnote w:type="continuationSeparator" w:id="0">
    <w:p w14:paraId="3D9FD9ED" w14:textId="77777777" w:rsidR="00D62338" w:rsidRDefault="00D62338">
      <w:r>
        <w:continuationSeparator/>
      </w:r>
    </w:p>
  </w:endnote>
  <w:endnote w:type="continuationNotice" w:id="1">
    <w:p w14:paraId="743EAA44" w14:textId="77777777" w:rsidR="00D62338" w:rsidRDefault="00D623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629B2" w14:textId="77777777" w:rsidR="00D62338" w:rsidRDefault="00D62338">
      <w:r>
        <w:separator/>
      </w:r>
    </w:p>
  </w:footnote>
  <w:footnote w:type="continuationSeparator" w:id="0">
    <w:p w14:paraId="0B207469" w14:textId="77777777" w:rsidR="00D62338" w:rsidRDefault="00D62338">
      <w:r>
        <w:continuationSeparator/>
      </w:r>
    </w:p>
  </w:footnote>
  <w:footnote w:type="continuationNotice" w:id="1">
    <w:p w14:paraId="6D0915CD" w14:textId="77777777" w:rsidR="00D62338" w:rsidRDefault="00D623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742F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5285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3178C8"/>
    <w:multiLevelType w:val="hybridMultilevel"/>
    <w:tmpl w:val="C2302A32"/>
    <w:lvl w:ilvl="0" w:tplc="50CE4D9C">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AA65CE"/>
    <w:multiLevelType w:val="hybridMultilevel"/>
    <w:tmpl w:val="B8E00F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E47AFB"/>
    <w:multiLevelType w:val="hybridMultilevel"/>
    <w:tmpl w:val="88BC34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5B6393"/>
    <w:multiLevelType w:val="hybridMultilevel"/>
    <w:tmpl w:val="918073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5490960"/>
    <w:multiLevelType w:val="hybridMultilevel"/>
    <w:tmpl w:val="29F61C24"/>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6040E86"/>
    <w:multiLevelType w:val="hybridMultilevel"/>
    <w:tmpl w:val="5B3C70C6"/>
    <w:lvl w:ilvl="0" w:tplc="B05641A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F0159A"/>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E5D69BD"/>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658095C"/>
    <w:multiLevelType w:val="hybridMultilevel"/>
    <w:tmpl w:val="8CA4F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78D4FF4A"/>
    <w:lvl w:ilvl="0" w:tplc="70A4B056">
      <w:start w:val="1"/>
      <w:numFmt w:val="decimal"/>
      <w:pStyle w:val="Observation"/>
      <w:lvlText w:val="Observation %1"/>
      <w:lvlJc w:val="left"/>
      <w:pPr>
        <w:ind w:left="360" w:hanging="360"/>
      </w:pPr>
      <w:rPr>
        <w:color w:val="auto"/>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8F2325"/>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C24277D"/>
    <w:multiLevelType w:val="hybridMultilevel"/>
    <w:tmpl w:val="2664540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99012BB"/>
    <w:multiLevelType w:val="hybridMultilevel"/>
    <w:tmpl w:val="26F870E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3" w15:restartNumberingAfterBreak="0">
    <w:nsid w:val="6C246379"/>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B0244FE"/>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852035156">
    <w:abstractNumId w:val="4"/>
  </w:num>
  <w:num w:numId="2" w16cid:durableId="88040459">
    <w:abstractNumId w:val="25"/>
  </w:num>
  <w:num w:numId="3" w16cid:durableId="210113511">
    <w:abstractNumId w:val="21"/>
  </w:num>
  <w:num w:numId="4" w16cid:durableId="1201355830">
    <w:abstractNumId w:val="22"/>
  </w:num>
  <w:num w:numId="5" w16cid:durableId="876549246">
    <w:abstractNumId w:val="17"/>
  </w:num>
  <w:num w:numId="6" w16cid:durableId="230893281">
    <w:abstractNumId w:val="24"/>
  </w:num>
  <w:num w:numId="7" w16cid:durableId="336150175">
    <w:abstractNumId w:val="28"/>
  </w:num>
  <w:num w:numId="8" w16cid:durableId="2001034979">
    <w:abstractNumId w:val="18"/>
  </w:num>
  <w:num w:numId="9" w16cid:durableId="1393386707">
    <w:abstractNumId w:val="14"/>
  </w:num>
  <w:num w:numId="10" w16cid:durableId="1245602827">
    <w:abstractNumId w:val="2"/>
  </w:num>
  <w:num w:numId="11" w16cid:durableId="1014571427">
    <w:abstractNumId w:val="1"/>
  </w:num>
  <w:num w:numId="12" w16cid:durableId="1966425495">
    <w:abstractNumId w:val="0"/>
  </w:num>
  <w:num w:numId="13" w16cid:durableId="26223891">
    <w:abstractNumId w:val="26"/>
  </w:num>
  <w:num w:numId="14" w16cid:durableId="111704898">
    <w:abstractNumId w:val="27"/>
  </w:num>
  <w:num w:numId="15" w16cid:durableId="106508414">
    <w:abstractNumId w:val="23"/>
  </w:num>
  <w:num w:numId="16" w16cid:durableId="1578708472">
    <w:abstractNumId w:val="30"/>
  </w:num>
  <w:num w:numId="17" w16cid:durableId="1754618076">
    <w:abstractNumId w:val="9"/>
  </w:num>
  <w:num w:numId="18" w16cid:durableId="1467890748">
    <w:abstractNumId w:val="13"/>
  </w:num>
  <w:num w:numId="19" w16cid:durableId="1135223285">
    <w:abstractNumId w:val="6"/>
  </w:num>
  <w:num w:numId="20" w16cid:durableId="655843346">
    <w:abstractNumId w:val="36"/>
  </w:num>
  <w:num w:numId="21" w16cid:durableId="1484081815">
    <w:abstractNumId w:val="19"/>
  </w:num>
  <w:num w:numId="22" w16cid:durableId="1238324561">
    <w:abstractNumId w:val="34"/>
  </w:num>
  <w:num w:numId="23" w16cid:durableId="2097052511">
    <w:abstractNumId w:val="15"/>
  </w:num>
  <w:num w:numId="24" w16cid:durableId="690834830">
    <w:abstractNumId w:val="8"/>
  </w:num>
  <w:num w:numId="25" w16cid:durableId="911081812">
    <w:abstractNumId w:val="10"/>
  </w:num>
  <w:num w:numId="26" w16cid:durableId="1336492944">
    <w:abstractNumId w:val="33"/>
  </w:num>
  <w:num w:numId="27" w16cid:durableId="1676374073">
    <w:abstractNumId w:val="37"/>
  </w:num>
  <w:num w:numId="28" w16cid:durableId="1615556612">
    <w:abstractNumId w:val="29"/>
  </w:num>
  <w:num w:numId="29" w16cid:durableId="12191881">
    <w:abstractNumId w:val="16"/>
  </w:num>
  <w:num w:numId="30" w16cid:durableId="175231088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16153245">
    <w:abstractNumId w:val="3"/>
  </w:num>
  <w:num w:numId="32" w16cid:durableId="22903596">
    <w:abstractNumId w:val="31"/>
  </w:num>
  <w:num w:numId="33" w16cid:durableId="802772102">
    <w:abstractNumId w:val="20"/>
  </w:num>
  <w:num w:numId="34" w16cid:durableId="108397488">
    <w:abstractNumId w:val="5"/>
  </w:num>
  <w:num w:numId="35" w16cid:durableId="157501978">
    <w:abstractNumId w:val="12"/>
  </w:num>
  <w:num w:numId="36" w16cid:durableId="2097432198">
    <w:abstractNumId w:val="35"/>
  </w:num>
  <w:num w:numId="37" w16cid:durableId="958953102">
    <w:abstractNumId w:val="11"/>
  </w:num>
  <w:num w:numId="38" w16cid:durableId="202350505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sv-SE"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proofState w:spelling="clean" w:grammar="clean"/>
  <w:attachedTemplate r:id="rId1"/>
  <w:stylePaneFormatFilter w:val="0704" w:allStyles="0" w:customStyles="0" w:latentStyles="1" w:stylesInUse="0" w:headingStyles="0" w:numberingStyles="0" w:tableStyles="0" w:directFormattingOnRuns="1" w:directFormattingOnParagraphs="1" w:directFormattingOnNumbering="1" w:directFormattingOnTables="0" w:clearFormatting="0" w:top3HeadingStyles="0" w:visibleStyles="0" w:alternateStyleNames="0"/>
  <w:stylePaneSortMethod w:val="0002"/>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36A"/>
    <w:rsid w:val="00007CDC"/>
    <w:rsid w:val="00011B28"/>
    <w:rsid w:val="00015D15"/>
    <w:rsid w:val="0001614B"/>
    <w:rsid w:val="00016A88"/>
    <w:rsid w:val="00016D0C"/>
    <w:rsid w:val="00024BB2"/>
    <w:rsid w:val="00024E62"/>
    <w:rsid w:val="0002564D"/>
    <w:rsid w:val="00025ECA"/>
    <w:rsid w:val="000325B8"/>
    <w:rsid w:val="00034C15"/>
    <w:rsid w:val="00036BA1"/>
    <w:rsid w:val="00037383"/>
    <w:rsid w:val="0004101F"/>
    <w:rsid w:val="000422E2"/>
    <w:rsid w:val="00042F22"/>
    <w:rsid w:val="000444EF"/>
    <w:rsid w:val="0005242C"/>
    <w:rsid w:val="00052A07"/>
    <w:rsid w:val="000534E3"/>
    <w:rsid w:val="0005606A"/>
    <w:rsid w:val="00057117"/>
    <w:rsid w:val="000616E7"/>
    <w:rsid w:val="0006487E"/>
    <w:rsid w:val="00065E1A"/>
    <w:rsid w:val="00072E49"/>
    <w:rsid w:val="00075743"/>
    <w:rsid w:val="00077E5F"/>
    <w:rsid w:val="0008036A"/>
    <w:rsid w:val="00081AE6"/>
    <w:rsid w:val="00082D6C"/>
    <w:rsid w:val="000855EB"/>
    <w:rsid w:val="00085B52"/>
    <w:rsid w:val="0008602B"/>
    <w:rsid w:val="000866F2"/>
    <w:rsid w:val="0008724F"/>
    <w:rsid w:val="0009009F"/>
    <w:rsid w:val="00091557"/>
    <w:rsid w:val="000924C1"/>
    <w:rsid w:val="000924F0"/>
    <w:rsid w:val="00093474"/>
    <w:rsid w:val="0009510F"/>
    <w:rsid w:val="000A05C6"/>
    <w:rsid w:val="000A1B7B"/>
    <w:rsid w:val="000A56F2"/>
    <w:rsid w:val="000A5AB7"/>
    <w:rsid w:val="000A719B"/>
    <w:rsid w:val="000B086B"/>
    <w:rsid w:val="000B2719"/>
    <w:rsid w:val="000B3A8F"/>
    <w:rsid w:val="000B4AB9"/>
    <w:rsid w:val="000B58C3"/>
    <w:rsid w:val="000B61E9"/>
    <w:rsid w:val="000C004A"/>
    <w:rsid w:val="000C165A"/>
    <w:rsid w:val="000C2E19"/>
    <w:rsid w:val="000C3D66"/>
    <w:rsid w:val="000D0D07"/>
    <w:rsid w:val="000D4797"/>
    <w:rsid w:val="000E0527"/>
    <w:rsid w:val="000E0B8A"/>
    <w:rsid w:val="000E1E92"/>
    <w:rsid w:val="000E5C6F"/>
    <w:rsid w:val="000E7DB0"/>
    <w:rsid w:val="000F047E"/>
    <w:rsid w:val="000F06D6"/>
    <w:rsid w:val="000F0EB1"/>
    <w:rsid w:val="000F1106"/>
    <w:rsid w:val="000F3B50"/>
    <w:rsid w:val="000F3BE9"/>
    <w:rsid w:val="000F3F6C"/>
    <w:rsid w:val="000F6C65"/>
    <w:rsid w:val="000F6DF3"/>
    <w:rsid w:val="0010055B"/>
    <w:rsid w:val="001005FF"/>
    <w:rsid w:val="001019D9"/>
    <w:rsid w:val="00102D8C"/>
    <w:rsid w:val="001062FB"/>
    <w:rsid w:val="001063E6"/>
    <w:rsid w:val="00106BC3"/>
    <w:rsid w:val="00107C67"/>
    <w:rsid w:val="001115CA"/>
    <w:rsid w:val="00113CF4"/>
    <w:rsid w:val="001153EA"/>
    <w:rsid w:val="00115643"/>
    <w:rsid w:val="00115D57"/>
    <w:rsid w:val="00115F10"/>
    <w:rsid w:val="00116765"/>
    <w:rsid w:val="0011683B"/>
    <w:rsid w:val="001203C8"/>
    <w:rsid w:val="001219F5"/>
    <w:rsid w:val="00121A20"/>
    <w:rsid w:val="00121FD7"/>
    <w:rsid w:val="0012377F"/>
    <w:rsid w:val="00124314"/>
    <w:rsid w:val="00124EFC"/>
    <w:rsid w:val="00125383"/>
    <w:rsid w:val="00126B4A"/>
    <w:rsid w:val="0013218B"/>
    <w:rsid w:val="00132FD0"/>
    <w:rsid w:val="001344C0"/>
    <w:rsid w:val="001346FA"/>
    <w:rsid w:val="00135252"/>
    <w:rsid w:val="00137AB5"/>
    <w:rsid w:val="00137F0B"/>
    <w:rsid w:val="0014087E"/>
    <w:rsid w:val="0014256C"/>
    <w:rsid w:val="00145B48"/>
    <w:rsid w:val="001504B1"/>
    <w:rsid w:val="00151E23"/>
    <w:rsid w:val="001526E0"/>
    <w:rsid w:val="001551B5"/>
    <w:rsid w:val="00161ACB"/>
    <w:rsid w:val="001659C1"/>
    <w:rsid w:val="00167BFE"/>
    <w:rsid w:val="00173A8E"/>
    <w:rsid w:val="0017502C"/>
    <w:rsid w:val="0018143F"/>
    <w:rsid w:val="00181FF8"/>
    <w:rsid w:val="00182545"/>
    <w:rsid w:val="00185541"/>
    <w:rsid w:val="00190154"/>
    <w:rsid w:val="0019064E"/>
    <w:rsid w:val="00190AC1"/>
    <w:rsid w:val="00191BB9"/>
    <w:rsid w:val="00192258"/>
    <w:rsid w:val="0019310A"/>
    <w:rsid w:val="0019341A"/>
    <w:rsid w:val="00197DF9"/>
    <w:rsid w:val="001A1987"/>
    <w:rsid w:val="001A2564"/>
    <w:rsid w:val="001A6173"/>
    <w:rsid w:val="001A6CBA"/>
    <w:rsid w:val="001B029D"/>
    <w:rsid w:val="001B0D97"/>
    <w:rsid w:val="001B5A5D"/>
    <w:rsid w:val="001B641A"/>
    <w:rsid w:val="001C0D03"/>
    <w:rsid w:val="001C1CE5"/>
    <w:rsid w:val="001C36A5"/>
    <w:rsid w:val="001C3D2A"/>
    <w:rsid w:val="001C4782"/>
    <w:rsid w:val="001D4CFC"/>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16EA"/>
    <w:rsid w:val="00214998"/>
    <w:rsid w:val="00214BB5"/>
    <w:rsid w:val="00214DA8"/>
    <w:rsid w:val="00215423"/>
    <w:rsid w:val="002158FA"/>
    <w:rsid w:val="00215F3E"/>
    <w:rsid w:val="002176F5"/>
    <w:rsid w:val="00220600"/>
    <w:rsid w:val="002224DB"/>
    <w:rsid w:val="00223F54"/>
    <w:rsid w:val="00223FCB"/>
    <w:rsid w:val="002252C3"/>
    <w:rsid w:val="00225C54"/>
    <w:rsid w:val="00230765"/>
    <w:rsid w:val="00230D18"/>
    <w:rsid w:val="002319E4"/>
    <w:rsid w:val="00235632"/>
    <w:rsid w:val="00235872"/>
    <w:rsid w:val="00241559"/>
    <w:rsid w:val="002435B3"/>
    <w:rsid w:val="0024444D"/>
    <w:rsid w:val="002458EB"/>
    <w:rsid w:val="002500C8"/>
    <w:rsid w:val="00251866"/>
    <w:rsid w:val="00256561"/>
    <w:rsid w:val="00257543"/>
    <w:rsid w:val="002617E7"/>
    <w:rsid w:val="00262D81"/>
    <w:rsid w:val="00264228"/>
    <w:rsid w:val="00264334"/>
    <w:rsid w:val="0026473E"/>
    <w:rsid w:val="00266214"/>
    <w:rsid w:val="00267C83"/>
    <w:rsid w:val="0027144F"/>
    <w:rsid w:val="00271813"/>
    <w:rsid w:val="00271F3A"/>
    <w:rsid w:val="00272722"/>
    <w:rsid w:val="00273278"/>
    <w:rsid w:val="002737F4"/>
    <w:rsid w:val="0028022F"/>
    <w:rsid w:val="002805F5"/>
    <w:rsid w:val="00280751"/>
    <w:rsid w:val="002809A7"/>
    <w:rsid w:val="0028280A"/>
    <w:rsid w:val="00286ACD"/>
    <w:rsid w:val="00287838"/>
    <w:rsid w:val="0029040B"/>
    <w:rsid w:val="002907B5"/>
    <w:rsid w:val="00292EB7"/>
    <w:rsid w:val="00296227"/>
    <w:rsid w:val="00296F44"/>
    <w:rsid w:val="0029777D"/>
    <w:rsid w:val="002A055E"/>
    <w:rsid w:val="002A1D4E"/>
    <w:rsid w:val="002A2869"/>
    <w:rsid w:val="002A35AA"/>
    <w:rsid w:val="002A3904"/>
    <w:rsid w:val="002B24D6"/>
    <w:rsid w:val="002B3161"/>
    <w:rsid w:val="002B4730"/>
    <w:rsid w:val="002B74AD"/>
    <w:rsid w:val="002C1FF3"/>
    <w:rsid w:val="002C41E6"/>
    <w:rsid w:val="002C78CE"/>
    <w:rsid w:val="002C7C5E"/>
    <w:rsid w:val="002D071A"/>
    <w:rsid w:val="002D34B2"/>
    <w:rsid w:val="002D48B0"/>
    <w:rsid w:val="002D5B37"/>
    <w:rsid w:val="002D6BDC"/>
    <w:rsid w:val="002D7637"/>
    <w:rsid w:val="002E17F2"/>
    <w:rsid w:val="002E4AAE"/>
    <w:rsid w:val="002E7CAE"/>
    <w:rsid w:val="002F0DDF"/>
    <w:rsid w:val="002F2771"/>
    <w:rsid w:val="002F37A9"/>
    <w:rsid w:val="002F3FE8"/>
    <w:rsid w:val="002F7802"/>
    <w:rsid w:val="00300C51"/>
    <w:rsid w:val="00301C0D"/>
    <w:rsid w:val="00301CE6"/>
    <w:rsid w:val="0030256B"/>
    <w:rsid w:val="003047B6"/>
    <w:rsid w:val="0030501F"/>
    <w:rsid w:val="00307BA1"/>
    <w:rsid w:val="0031105D"/>
    <w:rsid w:val="00311702"/>
    <w:rsid w:val="00311E82"/>
    <w:rsid w:val="0031229B"/>
    <w:rsid w:val="00313FD6"/>
    <w:rsid w:val="003143BD"/>
    <w:rsid w:val="003143F1"/>
    <w:rsid w:val="00315363"/>
    <w:rsid w:val="00320021"/>
    <w:rsid w:val="003203ED"/>
    <w:rsid w:val="00321E88"/>
    <w:rsid w:val="00322C9F"/>
    <w:rsid w:val="00324D23"/>
    <w:rsid w:val="00331751"/>
    <w:rsid w:val="00333837"/>
    <w:rsid w:val="00333C78"/>
    <w:rsid w:val="00334579"/>
    <w:rsid w:val="00335858"/>
    <w:rsid w:val="00336BDA"/>
    <w:rsid w:val="00342BD7"/>
    <w:rsid w:val="003469C7"/>
    <w:rsid w:val="00346DB5"/>
    <w:rsid w:val="003477B1"/>
    <w:rsid w:val="00350DC2"/>
    <w:rsid w:val="00354B16"/>
    <w:rsid w:val="00357380"/>
    <w:rsid w:val="003602D9"/>
    <w:rsid w:val="003604CE"/>
    <w:rsid w:val="00363E02"/>
    <w:rsid w:val="00370E47"/>
    <w:rsid w:val="00371997"/>
    <w:rsid w:val="00371A67"/>
    <w:rsid w:val="00371F4F"/>
    <w:rsid w:val="003732F6"/>
    <w:rsid w:val="003742AC"/>
    <w:rsid w:val="00376909"/>
    <w:rsid w:val="00377AC6"/>
    <w:rsid w:val="00377CE1"/>
    <w:rsid w:val="00385BF0"/>
    <w:rsid w:val="003939FF"/>
    <w:rsid w:val="00394A36"/>
    <w:rsid w:val="003A2223"/>
    <w:rsid w:val="003A2A0F"/>
    <w:rsid w:val="003A45A1"/>
    <w:rsid w:val="003A5B0A"/>
    <w:rsid w:val="003A6BAC"/>
    <w:rsid w:val="003A70A4"/>
    <w:rsid w:val="003A7972"/>
    <w:rsid w:val="003A7EF3"/>
    <w:rsid w:val="003B159C"/>
    <w:rsid w:val="003B369F"/>
    <w:rsid w:val="003B36A3"/>
    <w:rsid w:val="003B64BB"/>
    <w:rsid w:val="003B7FE5"/>
    <w:rsid w:val="003C107A"/>
    <w:rsid w:val="003C11C8"/>
    <w:rsid w:val="003C2702"/>
    <w:rsid w:val="003C299A"/>
    <w:rsid w:val="003C57FB"/>
    <w:rsid w:val="003C7806"/>
    <w:rsid w:val="003D109F"/>
    <w:rsid w:val="003D2478"/>
    <w:rsid w:val="003D3C45"/>
    <w:rsid w:val="003D5B1F"/>
    <w:rsid w:val="003D6412"/>
    <w:rsid w:val="003D73E5"/>
    <w:rsid w:val="003E11F8"/>
    <w:rsid w:val="003E15FA"/>
    <w:rsid w:val="003E55E4"/>
    <w:rsid w:val="003E74E3"/>
    <w:rsid w:val="003F05C7"/>
    <w:rsid w:val="003F2CD4"/>
    <w:rsid w:val="003F5353"/>
    <w:rsid w:val="003F6BBE"/>
    <w:rsid w:val="003F6BD0"/>
    <w:rsid w:val="004000E8"/>
    <w:rsid w:val="004002AA"/>
    <w:rsid w:val="00402E2B"/>
    <w:rsid w:val="0040512B"/>
    <w:rsid w:val="00405CA5"/>
    <w:rsid w:val="00407CD3"/>
    <w:rsid w:val="00410134"/>
    <w:rsid w:val="00410641"/>
    <w:rsid w:val="00410B72"/>
    <w:rsid w:val="00410F18"/>
    <w:rsid w:val="0041263E"/>
    <w:rsid w:val="00413AAC"/>
    <w:rsid w:val="00413E92"/>
    <w:rsid w:val="00415B62"/>
    <w:rsid w:val="0041700F"/>
    <w:rsid w:val="00421105"/>
    <w:rsid w:val="004223C4"/>
    <w:rsid w:val="0042244D"/>
    <w:rsid w:val="00422AA4"/>
    <w:rsid w:val="00423EF6"/>
    <w:rsid w:val="004242F4"/>
    <w:rsid w:val="00427248"/>
    <w:rsid w:val="00427FD5"/>
    <w:rsid w:val="00432152"/>
    <w:rsid w:val="004367BC"/>
    <w:rsid w:val="0043727B"/>
    <w:rsid w:val="00437447"/>
    <w:rsid w:val="004419FB"/>
    <w:rsid w:val="00441A92"/>
    <w:rsid w:val="004423A4"/>
    <w:rsid w:val="004431DC"/>
    <w:rsid w:val="00444F56"/>
    <w:rsid w:val="00446488"/>
    <w:rsid w:val="004517AA"/>
    <w:rsid w:val="00452CAC"/>
    <w:rsid w:val="00457565"/>
    <w:rsid w:val="00457B71"/>
    <w:rsid w:val="004669E2"/>
    <w:rsid w:val="00466B33"/>
    <w:rsid w:val="00467692"/>
    <w:rsid w:val="00470C31"/>
    <w:rsid w:val="00471DE0"/>
    <w:rsid w:val="004734D0"/>
    <w:rsid w:val="0047542B"/>
    <w:rsid w:val="0047556B"/>
    <w:rsid w:val="00477768"/>
    <w:rsid w:val="00481751"/>
    <w:rsid w:val="00485170"/>
    <w:rsid w:val="00492BC5"/>
    <w:rsid w:val="00495E50"/>
    <w:rsid w:val="004964F1"/>
    <w:rsid w:val="00497F30"/>
    <w:rsid w:val="004A16BC"/>
    <w:rsid w:val="004A2B94"/>
    <w:rsid w:val="004A3697"/>
    <w:rsid w:val="004A3BC9"/>
    <w:rsid w:val="004A63F8"/>
    <w:rsid w:val="004A7636"/>
    <w:rsid w:val="004B01C5"/>
    <w:rsid w:val="004B02BD"/>
    <w:rsid w:val="004B1C51"/>
    <w:rsid w:val="004B698C"/>
    <w:rsid w:val="004B6F6A"/>
    <w:rsid w:val="004B7C0C"/>
    <w:rsid w:val="004C3898"/>
    <w:rsid w:val="004D36B1"/>
    <w:rsid w:val="004D54C5"/>
    <w:rsid w:val="004D7EBD"/>
    <w:rsid w:val="004E2680"/>
    <w:rsid w:val="004E28F9"/>
    <w:rsid w:val="004E462E"/>
    <w:rsid w:val="004E50C2"/>
    <w:rsid w:val="004E56DC"/>
    <w:rsid w:val="004E6446"/>
    <w:rsid w:val="004E76F4"/>
    <w:rsid w:val="004F0B4E"/>
    <w:rsid w:val="004F0B6C"/>
    <w:rsid w:val="004F1543"/>
    <w:rsid w:val="004F2078"/>
    <w:rsid w:val="004F4DA3"/>
    <w:rsid w:val="0050487A"/>
    <w:rsid w:val="00506557"/>
    <w:rsid w:val="00506759"/>
    <w:rsid w:val="0050677A"/>
    <w:rsid w:val="00507BC8"/>
    <w:rsid w:val="005108D8"/>
    <w:rsid w:val="005116F9"/>
    <w:rsid w:val="00513D22"/>
    <w:rsid w:val="005153A7"/>
    <w:rsid w:val="005208E2"/>
    <w:rsid w:val="005219CF"/>
    <w:rsid w:val="005227C2"/>
    <w:rsid w:val="0052398E"/>
    <w:rsid w:val="0052649C"/>
    <w:rsid w:val="00534B59"/>
    <w:rsid w:val="005353BF"/>
    <w:rsid w:val="00536759"/>
    <w:rsid w:val="00537C62"/>
    <w:rsid w:val="005404D2"/>
    <w:rsid w:val="005405B1"/>
    <w:rsid w:val="00544843"/>
    <w:rsid w:val="00546970"/>
    <w:rsid w:val="0055322D"/>
    <w:rsid w:val="00554E19"/>
    <w:rsid w:val="0056121F"/>
    <w:rsid w:val="00562546"/>
    <w:rsid w:val="00562A86"/>
    <w:rsid w:val="00565889"/>
    <w:rsid w:val="00567EDC"/>
    <w:rsid w:val="00572505"/>
    <w:rsid w:val="00573E9A"/>
    <w:rsid w:val="00576ECC"/>
    <w:rsid w:val="00582809"/>
    <w:rsid w:val="00583092"/>
    <w:rsid w:val="00585B5B"/>
    <w:rsid w:val="0058798C"/>
    <w:rsid w:val="005900FA"/>
    <w:rsid w:val="00592916"/>
    <w:rsid w:val="005935A4"/>
    <w:rsid w:val="005948C2"/>
    <w:rsid w:val="00595DCA"/>
    <w:rsid w:val="0059779B"/>
    <w:rsid w:val="005A209A"/>
    <w:rsid w:val="005A5328"/>
    <w:rsid w:val="005A5B39"/>
    <w:rsid w:val="005A662D"/>
    <w:rsid w:val="005A7B75"/>
    <w:rsid w:val="005A7FCA"/>
    <w:rsid w:val="005B1409"/>
    <w:rsid w:val="005B35D7"/>
    <w:rsid w:val="005B392A"/>
    <w:rsid w:val="005B3AA3"/>
    <w:rsid w:val="005B4E2C"/>
    <w:rsid w:val="005B5258"/>
    <w:rsid w:val="005B6F83"/>
    <w:rsid w:val="005C3F9D"/>
    <w:rsid w:val="005C4428"/>
    <w:rsid w:val="005C5B75"/>
    <w:rsid w:val="005C74FB"/>
    <w:rsid w:val="005D1602"/>
    <w:rsid w:val="005D259C"/>
    <w:rsid w:val="005D5EDA"/>
    <w:rsid w:val="005E385F"/>
    <w:rsid w:val="005E5B81"/>
    <w:rsid w:val="005F2CB1"/>
    <w:rsid w:val="005F2D75"/>
    <w:rsid w:val="005F2ED5"/>
    <w:rsid w:val="005F3025"/>
    <w:rsid w:val="005F3B75"/>
    <w:rsid w:val="005F618C"/>
    <w:rsid w:val="005F70BD"/>
    <w:rsid w:val="005F756D"/>
    <w:rsid w:val="0060027A"/>
    <w:rsid w:val="0060201D"/>
    <w:rsid w:val="0060282D"/>
    <w:rsid w:val="0060283C"/>
    <w:rsid w:val="00604F14"/>
    <w:rsid w:val="006116D1"/>
    <w:rsid w:val="00611B83"/>
    <w:rsid w:val="00613257"/>
    <w:rsid w:val="00613326"/>
    <w:rsid w:val="006155AC"/>
    <w:rsid w:val="00620A71"/>
    <w:rsid w:val="00620D80"/>
    <w:rsid w:val="006234A6"/>
    <w:rsid w:val="0062389D"/>
    <w:rsid w:val="006238AD"/>
    <w:rsid w:val="00630001"/>
    <w:rsid w:val="006311B3"/>
    <w:rsid w:val="00631629"/>
    <w:rsid w:val="00632187"/>
    <w:rsid w:val="0063284C"/>
    <w:rsid w:val="0063618B"/>
    <w:rsid w:val="00636398"/>
    <w:rsid w:val="006368D3"/>
    <w:rsid w:val="006377EC"/>
    <w:rsid w:val="00637D9E"/>
    <w:rsid w:val="00640AF3"/>
    <w:rsid w:val="0064151F"/>
    <w:rsid w:val="00641533"/>
    <w:rsid w:val="0064208D"/>
    <w:rsid w:val="00643475"/>
    <w:rsid w:val="0064396A"/>
    <w:rsid w:val="0064624E"/>
    <w:rsid w:val="0065030F"/>
    <w:rsid w:val="00650AB9"/>
    <w:rsid w:val="006551B8"/>
    <w:rsid w:val="00655733"/>
    <w:rsid w:val="00655ACD"/>
    <w:rsid w:val="0065690C"/>
    <w:rsid w:val="00656A92"/>
    <w:rsid w:val="00656DDE"/>
    <w:rsid w:val="0066011D"/>
    <w:rsid w:val="006607C0"/>
    <w:rsid w:val="00660F7B"/>
    <w:rsid w:val="006613A6"/>
    <w:rsid w:val="006627A2"/>
    <w:rsid w:val="006634E6"/>
    <w:rsid w:val="006655EE"/>
    <w:rsid w:val="00667EE7"/>
    <w:rsid w:val="006703B5"/>
    <w:rsid w:val="00670922"/>
    <w:rsid w:val="00670BE1"/>
    <w:rsid w:val="00670F91"/>
    <w:rsid w:val="00671303"/>
    <w:rsid w:val="00671FAA"/>
    <w:rsid w:val="0067218F"/>
    <w:rsid w:val="006741F2"/>
    <w:rsid w:val="00674CC3"/>
    <w:rsid w:val="00674DC9"/>
    <w:rsid w:val="00675C72"/>
    <w:rsid w:val="006771F9"/>
    <w:rsid w:val="006776D7"/>
    <w:rsid w:val="00681003"/>
    <w:rsid w:val="006817C9"/>
    <w:rsid w:val="00682761"/>
    <w:rsid w:val="00683ECE"/>
    <w:rsid w:val="00695FC2"/>
    <w:rsid w:val="00696949"/>
    <w:rsid w:val="00697052"/>
    <w:rsid w:val="00697CE3"/>
    <w:rsid w:val="006A1EEC"/>
    <w:rsid w:val="006A46FB"/>
    <w:rsid w:val="006A5E28"/>
    <w:rsid w:val="006A697B"/>
    <w:rsid w:val="006A6BB1"/>
    <w:rsid w:val="006A7232"/>
    <w:rsid w:val="006A7AFF"/>
    <w:rsid w:val="006A7D20"/>
    <w:rsid w:val="006B1816"/>
    <w:rsid w:val="006B1D11"/>
    <w:rsid w:val="006B2099"/>
    <w:rsid w:val="006B50CF"/>
    <w:rsid w:val="006C03B8"/>
    <w:rsid w:val="006C2599"/>
    <w:rsid w:val="006C2D60"/>
    <w:rsid w:val="006C5EC9"/>
    <w:rsid w:val="006C6059"/>
    <w:rsid w:val="006C7522"/>
    <w:rsid w:val="006D4F8D"/>
    <w:rsid w:val="006D5135"/>
    <w:rsid w:val="006D5511"/>
    <w:rsid w:val="006D6F08"/>
    <w:rsid w:val="006E062C"/>
    <w:rsid w:val="006E1C82"/>
    <w:rsid w:val="006E28B7"/>
    <w:rsid w:val="006E2A9B"/>
    <w:rsid w:val="006E3310"/>
    <w:rsid w:val="006E3646"/>
    <w:rsid w:val="006E4E39"/>
    <w:rsid w:val="006E565E"/>
    <w:rsid w:val="006E673D"/>
    <w:rsid w:val="006E7D3B"/>
    <w:rsid w:val="006F1A5A"/>
    <w:rsid w:val="006F1B70"/>
    <w:rsid w:val="006F341D"/>
    <w:rsid w:val="006F3CDE"/>
    <w:rsid w:val="006F58D4"/>
    <w:rsid w:val="006F6582"/>
    <w:rsid w:val="0070346E"/>
    <w:rsid w:val="00704EDB"/>
    <w:rsid w:val="00706101"/>
    <w:rsid w:val="00706F7B"/>
    <w:rsid w:val="00707072"/>
    <w:rsid w:val="00707D61"/>
    <w:rsid w:val="00710039"/>
    <w:rsid w:val="00712287"/>
    <w:rsid w:val="00712772"/>
    <w:rsid w:val="007138EE"/>
    <w:rsid w:val="007148D3"/>
    <w:rsid w:val="00715B9A"/>
    <w:rsid w:val="007257D0"/>
    <w:rsid w:val="00726EA6"/>
    <w:rsid w:val="00727208"/>
    <w:rsid w:val="00727680"/>
    <w:rsid w:val="00731044"/>
    <w:rsid w:val="00734842"/>
    <w:rsid w:val="007348B1"/>
    <w:rsid w:val="007362A6"/>
    <w:rsid w:val="00736D7D"/>
    <w:rsid w:val="00740E58"/>
    <w:rsid w:val="007445A0"/>
    <w:rsid w:val="0074524B"/>
    <w:rsid w:val="007473CF"/>
    <w:rsid w:val="00747D8B"/>
    <w:rsid w:val="00751228"/>
    <w:rsid w:val="007571E1"/>
    <w:rsid w:val="00757A16"/>
    <w:rsid w:val="007604B2"/>
    <w:rsid w:val="00762D16"/>
    <w:rsid w:val="00763F7F"/>
    <w:rsid w:val="00765281"/>
    <w:rsid w:val="00766BAD"/>
    <w:rsid w:val="0077158F"/>
    <w:rsid w:val="007729A2"/>
    <w:rsid w:val="007755F2"/>
    <w:rsid w:val="007761FD"/>
    <w:rsid w:val="00776971"/>
    <w:rsid w:val="00780A80"/>
    <w:rsid w:val="0078177E"/>
    <w:rsid w:val="0078304C"/>
    <w:rsid w:val="00783673"/>
    <w:rsid w:val="00785490"/>
    <w:rsid w:val="007925EA"/>
    <w:rsid w:val="00792912"/>
    <w:rsid w:val="00792DC6"/>
    <w:rsid w:val="00793CD8"/>
    <w:rsid w:val="00795C92"/>
    <w:rsid w:val="00796231"/>
    <w:rsid w:val="007974E0"/>
    <w:rsid w:val="007A1CB3"/>
    <w:rsid w:val="007A306F"/>
    <w:rsid w:val="007A43A6"/>
    <w:rsid w:val="007A58A6"/>
    <w:rsid w:val="007B0FFA"/>
    <w:rsid w:val="007B16A6"/>
    <w:rsid w:val="007B3D2D"/>
    <w:rsid w:val="007B50AE"/>
    <w:rsid w:val="007B51DF"/>
    <w:rsid w:val="007B7D82"/>
    <w:rsid w:val="007C05DD"/>
    <w:rsid w:val="007C08EB"/>
    <w:rsid w:val="007C0E66"/>
    <w:rsid w:val="007C27B0"/>
    <w:rsid w:val="007C3D18"/>
    <w:rsid w:val="007C4273"/>
    <w:rsid w:val="007C5D64"/>
    <w:rsid w:val="007C60BF"/>
    <w:rsid w:val="007C64C4"/>
    <w:rsid w:val="007C6A07"/>
    <w:rsid w:val="007C75A1"/>
    <w:rsid w:val="007C77A5"/>
    <w:rsid w:val="007D04E5"/>
    <w:rsid w:val="007D5901"/>
    <w:rsid w:val="007D6CBC"/>
    <w:rsid w:val="007D7526"/>
    <w:rsid w:val="007E2AB3"/>
    <w:rsid w:val="007E2E3C"/>
    <w:rsid w:val="007E4610"/>
    <w:rsid w:val="007E4715"/>
    <w:rsid w:val="007E505B"/>
    <w:rsid w:val="007E7091"/>
    <w:rsid w:val="007F2FDE"/>
    <w:rsid w:val="007F3814"/>
    <w:rsid w:val="007F5427"/>
    <w:rsid w:val="007F5C5C"/>
    <w:rsid w:val="007F7B97"/>
    <w:rsid w:val="00803FAE"/>
    <w:rsid w:val="0080605F"/>
    <w:rsid w:val="0080626A"/>
    <w:rsid w:val="00807786"/>
    <w:rsid w:val="00811FCB"/>
    <w:rsid w:val="0081202A"/>
    <w:rsid w:val="008123CB"/>
    <w:rsid w:val="008139A1"/>
    <w:rsid w:val="00814EC4"/>
    <w:rsid w:val="008158D6"/>
    <w:rsid w:val="00817196"/>
    <w:rsid w:val="0081740C"/>
    <w:rsid w:val="008235DB"/>
    <w:rsid w:val="0082499B"/>
    <w:rsid w:val="00824AB4"/>
    <w:rsid w:val="00824DBB"/>
    <w:rsid w:val="00825C42"/>
    <w:rsid w:val="00825D25"/>
    <w:rsid w:val="00827D6F"/>
    <w:rsid w:val="00830BCC"/>
    <w:rsid w:val="008376AC"/>
    <w:rsid w:val="00837E65"/>
    <w:rsid w:val="008444E8"/>
    <w:rsid w:val="00844E80"/>
    <w:rsid w:val="00846FE7"/>
    <w:rsid w:val="00847215"/>
    <w:rsid w:val="0085253E"/>
    <w:rsid w:val="00855576"/>
    <w:rsid w:val="00856911"/>
    <w:rsid w:val="00862BEC"/>
    <w:rsid w:val="00864526"/>
    <w:rsid w:val="008677FD"/>
    <w:rsid w:val="008706D4"/>
    <w:rsid w:val="00870F8A"/>
    <w:rsid w:val="00871088"/>
    <w:rsid w:val="008710C9"/>
    <w:rsid w:val="008719A4"/>
    <w:rsid w:val="00871D23"/>
    <w:rsid w:val="00874312"/>
    <w:rsid w:val="0087437C"/>
    <w:rsid w:val="00874BBD"/>
    <w:rsid w:val="00875375"/>
    <w:rsid w:val="00875CD7"/>
    <w:rsid w:val="00876B4D"/>
    <w:rsid w:val="00877F18"/>
    <w:rsid w:val="00881E3E"/>
    <w:rsid w:val="008835D1"/>
    <w:rsid w:val="008907BE"/>
    <w:rsid w:val="00891381"/>
    <w:rsid w:val="008941E3"/>
    <w:rsid w:val="00894A88"/>
    <w:rsid w:val="00895386"/>
    <w:rsid w:val="008A21FF"/>
    <w:rsid w:val="008A2519"/>
    <w:rsid w:val="008A2CE2"/>
    <w:rsid w:val="008A30AC"/>
    <w:rsid w:val="008A44B8"/>
    <w:rsid w:val="008A51A8"/>
    <w:rsid w:val="008A54C7"/>
    <w:rsid w:val="008A77D8"/>
    <w:rsid w:val="008B0483"/>
    <w:rsid w:val="008B120C"/>
    <w:rsid w:val="008B18C1"/>
    <w:rsid w:val="008B20D4"/>
    <w:rsid w:val="008B51A0"/>
    <w:rsid w:val="008B592A"/>
    <w:rsid w:val="008B7B5C"/>
    <w:rsid w:val="008C0C99"/>
    <w:rsid w:val="008C2017"/>
    <w:rsid w:val="008C4958"/>
    <w:rsid w:val="008C4BAA"/>
    <w:rsid w:val="008C6AE8"/>
    <w:rsid w:val="008C7573"/>
    <w:rsid w:val="008D00A5"/>
    <w:rsid w:val="008D1D70"/>
    <w:rsid w:val="008D22F4"/>
    <w:rsid w:val="008D2888"/>
    <w:rsid w:val="008D34F1"/>
    <w:rsid w:val="008D39D8"/>
    <w:rsid w:val="008D6D1A"/>
    <w:rsid w:val="008E065E"/>
    <w:rsid w:val="008E0927"/>
    <w:rsid w:val="008E1909"/>
    <w:rsid w:val="008E5B7C"/>
    <w:rsid w:val="008E5C6A"/>
    <w:rsid w:val="008F0D4D"/>
    <w:rsid w:val="008F1EAB"/>
    <w:rsid w:val="008F33DC"/>
    <w:rsid w:val="008F477F"/>
    <w:rsid w:val="008F671E"/>
    <w:rsid w:val="008F676B"/>
    <w:rsid w:val="008F7024"/>
    <w:rsid w:val="008F74CC"/>
    <w:rsid w:val="008F75BB"/>
    <w:rsid w:val="0090059A"/>
    <w:rsid w:val="00902350"/>
    <w:rsid w:val="0090336B"/>
    <w:rsid w:val="009053AA"/>
    <w:rsid w:val="00906939"/>
    <w:rsid w:val="00910B7D"/>
    <w:rsid w:val="00911DFB"/>
    <w:rsid w:val="009139D9"/>
    <w:rsid w:val="00914AD8"/>
    <w:rsid w:val="00916079"/>
    <w:rsid w:val="00917CE9"/>
    <w:rsid w:val="00920BF2"/>
    <w:rsid w:val="00922010"/>
    <w:rsid w:val="00924881"/>
    <w:rsid w:val="00931BD9"/>
    <w:rsid w:val="009368F3"/>
    <w:rsid w:val="00937B32"/>
    <w:rsid w:val="00941636"/>
    <w:rsid w:val="00943742"/>
    <w:rsid w:val="00943836"/>
    <w:rsid w:val="00945C05"/>
    <w:rsid w:val="00946945"/>
    <w:rsid w:val="0094757D"/>
    <w:rsid w:val="00947713"/>
    <w:rsid w:val="00950DE7"/>
    <w:rsid w:val="00951BB3"/>
    <w:rsid w:val="00953920"/>
    <w:rsid w:val="00953D47"/>
    <w:rsid w:val="0095681E"/>
    <w:rsid w:val="009572D4"/>
    <w:rsid w:val="00961921"/>
    <w:rsid w:val="00962BDA"/>
    <w:rsid w:val="0096430A"/>
    <w:rsid w:val="0096554B"/>
    <w:rsid w:val="009656CA"/>
    <w:rsid w:val="0096584A"/>
    <w:rsid w:val="00967BBA"/>
    <w:rsid w:val="0097014A"/>
    <w:rsid w:val="00971F08"/>
    <w:rsid w:val="00972A33"/>
    <w:rsid w:val="00974E58"/>
    <w:rsid w:val="0097603D"/>
    <w:rsid w:val="00976949"/>
    <w:rsid w:val="00980477"/>
    <w:rsid w:val="00980E79"/>
    <w:rsid w:val="00985253"/>
    <w:rsid w:val="009853B3"/>
    <w:rsid w:val="00990630"/>
    <w:rsid w:val="00991761"/>
    <w:rsid w:val="00994DCA"/>
    <w:rsid w:val="009960EC"/>
    <w:rsid w:val="009970DD"/>
    <w:rsid w:val="009A0FBA"/>
    <w:rsid w:val="009A11B4"/>
    <w:rsid w:val="009A1601"/>
    <w:rsid w:val="009A3BB6"/>
    <w:rsid w:val="009A462D"/>
    <w:rsid w:val="009A5191"/>
    <w:rsid w:val="009A5CBA"/>
    <w:rsid w:val="009B1F30"/>
    <w:rsid w:val="009B3310"/>
    <w:rsid w:val="009B3AC2"/>
    <w:rsid w:val="009B4DF4"/>
    <w:rsid w:val="009B564E"/>
    <w:rsid w:val="009B7E87"/>
    <w:rsid w:val="009C0169"/>
    <w:rsid w:val="009C403E"/>
    <w:rsid w:val="009C7640"/>
    <w:rsid w:val="009D4FF0"/>
    <w:rsid w:val="009D703C"/>
    <w:rsid w:val="009D718F"/>
    <w:rsid w:val="009E068F"/>
    <w:rsid w:val="009E0A3B"/>
    <w:rsid w:val="009E14E0"/>
    <w:rsid w:val="009E35DB"/>
    <w:rsid w:val="009E47A3"/>
    <w:rsid w:val="009E52C7"/>
    <w:rsid w:val="009E77C2"/>
    <w:rsid w:val="009F08F3"/>
    <w:rsid w:val="009F344F"/>
    <w:rsid w:val="009F56FF"/>
    <w:rsid w:val="00A031D8"/>
    <w:rsid w:val="00A048A8"/>
    <w:rsid w:val="00A04F49"/>
    <w:rsid w:val="00A114DF"/>
    <w:rsid w:val="00A13E54"/>
    <w:rsid w:val="00A17104"/>
    <w:rsid w:val="00A17F63"/>
    <w:rsid w:val="00A2193B"/>
    <w:rsid w:val="00A224D3"/>
    <w:rsid w:val="00A232B1"/>
    <w:rsid w:val="00A2351A"/>
    <w:rsid w:val="00A23E32"/>
    <w:rsid w:val="00A24709"/>
    <w:rsid w:val="00A264A9"/>
    <w:rsid w:val="00A26DCF"/>
    <w:rsid w:val="00A27785"/>
    <w:rsid w:val="00A27F70"/>
    <w:rsid w:val="00A30187"/>
    <w:rsid w:val="00A317F4"/>
    <w:rsid w:val="00A3448A"/>
    <w:rsid w:val="00A36297"/>
    <w:rsid w:val="00A41E2B"/>
    <w:rsid w:val="00A45B74"/>
    <w:rsid w:val="00A47E5E"/>
    <w:rsid w:val="00A52E1D"/>
    <w:rsid w:val="00A54EC1"/>
    <w:rsid w:val="00A575B2"/>
    <w:rsid w:val="00A575CD"/>
    <w:rsid w:val="00A5768B"/>
    <w:rsid w:val="00A579D4"/>
    <w:rsid w:val="00A61499"/>
    <w:rsid w:val="00A61948"/>
    <w:rsid w:val="00A62A77"/>
    <w:rsid w:val="00A63483"/>
    <w:rsid w:val="00A65766"/>
    <w:rsid w:val="00A657D7"/>
    <w:rsid w:val="00A65D11"/>
    <w:rsid w:val="00A660AC"/>
    <w:rsid w:val="00A67E6C"/>
    <w:rsid w:val="00A71B99"/>
    <w:rsid w:val="00A739D0"/>
    <w:rsid w:val="00A761D4"/>
    <w:rsid w:val="00A77EC4"/>
    <w:rsid w:val="00A848E0"/>
    <w:rsid w:val="00A86451"/>
    <w:rsid w:val="00A92879"/>
    <w:rsid w:val="00A9442A"/>
    <w:rsid w:val="00A967E9"/>
    <w:rsid w:val="00AA016F"/>
    <w:rsid w:val="00AA1E01"/>
    <w:rsid w:val="00AA1ED6"/>
    <w:rsid w:val="00AA2CA5"/>
    <w:rsid w:val="00AA3C9B"/>
    <w:rsid w:val="00AA51D6"/>
    <w:rsid w:val="00AB0BC8"/>
    <w:rsid w:val="00AB11CA"/>
    <w:rsid w:val="00AB14D9"/>
    <w:rsid w:val="00AB4AB8"/>
    <w:rsid w:val="00AB5B7E"/>
    <w:rsid w:val="00AB655E"/>
    <w:rsid w:val="00AB7475"/>
    <w:rsid w:val="00AC007F"/>
    <w:rsid w:val="00AC2ECD"/>
    <w:rsid w:val="00AC3119"/>
    <w:rsid w:val="00AC49FB"/>
    <w:rsid w:val="00AC5A10"/>
    <w:rsid w:val="00AC7FD6"/>
    <w:rsid w:val="00AD0AA3"/>
    <w:rsid w:val="00AD3F94"/>
    <w:rsid w:val="00AD43B4"/>
    <w:rsid w:val="00AD4A5A"/>
    <w:rsid w:val="00AD4D16"/>
    <w:rsid w:val="00AD5CD1"/>
    <w:rsid w:val="00AE27AC"/>
    <w:rsid w:val="00AE40E0"/>
    <w:rsid w:val="00AE4DBA"/>
    <w:rsid w:val="00AE4F07"/>
    <w:rsid w:val="00AF1C5D"/>
    <w:rsid w:val="00AF42D7"/>
    <w:rsid w:val="00AF7309"/>
    <w:rsid w:val="00B006FE"/>
    <w:rsid w:val="00B007CB"/>
    <w:rsid w:val="00B02AA9"/>
    <w:rsid w:val="00B02FA3"/>
    <w:rsid w:val="00B05084"/>
    <w:rsid w:val="00B054F9"/>
    <w:rsid w:val="00B157F9"/>
    <w:rsid w:val="00B20256"/>
    <w:rsid w:val="00B20487"/>
    <w:rsid w:val="00B20D09"/>
    <w:rsid w:val="00B2763F"/>
    <w:rsid w:val="00B27AAC"/>
    <w:rsid w:val="00B30929"/>
    <w:rsid w:val="00B33C68"/>
    <w:rsid w:val="00B34BC0"/>
    <w:rsid w:val="00B372AA"/>
    <w:rsid w:val="00B40445"/>
    <w:rsid w:val="00B409E0"/>
    <w:rsid w:val="00B41888"/>
    <w:rsid w:val="00B43FF9"/>
    <w:rsid w:val="00B45A52"/>
    <w:rsid w:val="00B46175"/>
    <w:rsid w:val="00B5250C"/>
    <w:rsid w:val="00B532DA"/>
    <w:rsid w:val="00B548B7"/>
    <w:rsid w:val="00B5568A"/>
    <w:rsid w:val="00B57074"/>
    <w:rsid w:val="00B61CFF"/>
    <w:rsid w:val="00B627E9"/>
    <w:rsid w:val="00B64200"/>
    <w:rsid w:val="00B664C7"/>
    <w:rsid w:val="00B739F6"/>
    <w:rsid w:val="00B77537"/>
    <w:rsid w:val="00B77856"/>
    <w:rsid w:val="00B81A6C"/>
    <w:rsid w:val="00B81BE5"/>
    <w:rsid w:val="00B85744"/>
    <w:rsid w:val="00B85DE5"/>
    <w:rsid w:val="00B8630C"/>
    <w:rsid w:val="00B87E90"/>
    <w:rsid w:val="00B90A96"/>
    <w:rsid w:val="00B90F73"/>
    <w:rsid w:val="00B93B59"/>
    <w:rsid w:val="00B9406A"/>
    <w:rsid w:val="00B96A6F"/>
    <w:rsid w:val="00BA2280"/>
    <w:rsid w:val="00BA2A08"/>
    <w:rsid w:val="00BA463D"/>
    <w:rsid w:val="00BA56D2"/>
    <w:rsid w:val="00BA76E0"/>
    <w:rsid w:val="00BB2A25"/>
    <w:rsid w:val="00BB415B"/>
    <w:rsid w:val="00BB51E9"/>
    <w:rsid w:val="00BB6DE5"/>
    <w:rsid w:val="00BC0FDC"/>
    <w:rsid w:val="00BC3053"/>
    <w:rsid w:val="00BC4D2E"/>
    <w:rsid w:val="00BC5546"/>
    <w:rsid w:val="00BC5DD6"/>
    <w:rsid w:val="00BD3AE0"/>
    <w:rsid w:val="00BD48AC"/>
    <w:rsid w:val="00BD5573"/>
    <w:rsid w:val="00BD5F1A"/>
    <w:rsid w:val="00BD76BE"/>
    <w:rsid w:val="00BE1234"/>
    <w:rsid w:val="00BE174B"/>
    <w:rsid w:val="00BE2FA6"/>
    <w:rsid w:val="00BE333F"/>
    <w:rsid w:val="00BE3502"/>
    <w:rsid w:val="00BE624D"/>
    <w:rsid w:val="00BE6AE0"/>
    <w:rsid w:val="00BE7406"/>
    <w:rsid w:val="00BE7603"/>
    <w:rsid w:val="00BF2C82"/>
    <w:rsid w:val="00BF3279"/>
    <w:rsid w:val="00BF3AD7"/>
    <w:rsid w:val="00BF74C7"/>
    <w:rsid w:val="00C015F1"/>
    <w:rsid w:val="00C01F33"/>
    <w:rsid w:val="00C02250"/>
    <w:rsid w:val="00C02CC6"/>
    <w:rsid w:val="00C040F7"/>
    <w:rsid w:val="00C044AB"/>
    <w:rsid w:val="00C05706"/>
    <w:rsid w:val="00C07377"/>
    <w:rsid w:val="00C10478"/>
    <w:rsid w:val="00C12107"/>
    <w:rsid w:val="00C14D4B"/>
    <w:rsid w:val="00C154BB"/>
    <w:rsid w:val="00C268E6"/>
    <w:rsid w:val="00C279B5"/>
    <w:rsid w:val="00C27C45"/>
    <w:rsid w:val="00C3294B"/>
    <w:rsid w:val="00C32F9C"/>
    <w:rsid w:val="00C36640"/>
    <w:rsid w:val="00C3719D"/>
    <w:rsid w:val="00C379E6"/>
    <w:rsid w:val="00C37CB2"/>
    <w:rsid w:val="00C42804"/>
    <w:rsid w:val="00C46B86"/>
    <w:rsid w:val="00C473A5"/>
    <w:rsid w:val="00C5061C"/>
    <w:rsid w:val="00C51EE3"/>
    <w:rsid w:val="00C54995"/>
    <w:rsid w:val="00C54D41"/>
    <w:rsid w:val="00C60783"/>
    <w:rsid w:val="00C60DFF"/>
    <w:rsid w:val="00C64672"/>
    <w:rsid w:val="00C65417"/>
    <w:rsid w:val="00C6776A"/>
    <w:rsid w:val="00C70697"/>
    <w:rsid w:val="00C70959"/>
    <w:rsid w:val="00C72093"/>
    <w:rsid w:val="00C72EF4"/>
    <w:rsid w:val="00C744FE"/>
    <w:rsid w:val="00C75D2F"/>
    <w:rsid w:val="00C767BE"/>
    <w:rsid w:val="00C76E3C"/>
    <w:rsid w:val="00C81568"/>
    <w:rsid w:val="00C871D1"/>
    <w:rsid w:val="00C9027A"/>
    <w:rsid w:val="00C9068E"/>
    <w:rsid w:val="00C91246"/>
    <w:rsid w:val="00C93814"/>
    <w:rsid w:val="00C93C4B"/>
    <w:rsid w:val="00C944AB"/>
    <w:rsid w:val="00C95B40"/>
    <w:rsid w:val="00CA1ED8"/>
    <w:rsid w:val="00CA5524"/>
    <w:rsid w:val="00CA5DF5"/>
    <w:rsid w:val="00CA6BD2"/>
    <w:rsid w:val="00CB13D9"/>
    <w:rsid w:val="00CB1F63"/>
    <w:rsid w:val="00CB379A"/>
    <w:rsid w:val="00CB5B71"/>
    <w:rsid w:val="00CB7170"/>
    <w:rsid w:val="00CC040E"/>
    <w:rsid w:val="00CC111F"/>
    <w:rsid w:val="00CC2011"/>
    <w:rsid w:val="00CC3E0F"/>
    <w:rsid w:val="00CC3EA0"/>
    <w:rsid w:val="00CC7B45"/>
    <w:rsid w:val="00CC7DAE"/>
    <w:rsid w:val="00CD1188"/>
    <w:rsid w:val="00CD2ED1"/>
    <w:rsid w:val="00CD337B"/>
    <w:rsid w:val="00CD3948"/>
    <w:rsid w:val="00CD5A41"/>
    <w:rsid w:val="00CD6C51"/>
    <w:rsid w:val="00CE0424"/>
    <w:rsid w:val="00CE51EF"/>
    <w:rsid w:val="00CE7561"/>
    <w:rsid w:val="00CF1354"/>
    <w:rsid w:val="00CF142A"/>
    <w:rsid w:val="00CF1905"/>
    <w:rsid w:val="00CF2276"/>
    <w:rsid w:val="00CF3B1F"/>
    <w:rsid w:val="00CF3BF6"/>
    <w:rsid w:val="00CF48F2"/>
    <w:rsid w:val="00CF55E9"/>
    <w:rsid w:val="00CF6035"/>
    <w:rsid w:val="00CF623D"/>
    <w:rsid w:val="00CF625B"/>
    <w:rsid w:val="00CF687E"/>
    <w:rsid w:val="00D0349B"/>
    <w:rsid w:val="00D0675B"/>
    <w:rsid w:val="00D10249"/>
    <w:rsid w:val="00D115C3"/>
    <w:rsid w:val="00D11897"/>
    <w:rsid w:val="00D12C9F"/>
    <w:rsid w:val="00D13135"/>
    <w:rsid w:val="00D13E4E"/>
    <w:rsid w:val="00D2398C"/>
    <w:rsid w:val="00D239A7"/>
    <w:rsid w:val="00D23F47"/>
    <w:rsid w:val="00D258E0"/>
    <w:rsid w:val="00D2663E"/>
    <w:rsid w:val="00D36E71"/>
    <w:rsid w:val="00D37D87"/>
    <w:rsid w:val="00D40B33"/>
    <w:rsid w:val="00D427CC"/>
    <w:rsid w:val="00D4318F"/>
    <w:rsid w:val="00D438BF"/>
    <w:rsid w:val="00D440F8"/>
    <w:rsid w:val="00D50115"/>
    <w:rsid w:val="00D52519"/>
    <w:rsid w:val="00D54266"/>
    <w:rsid w:val="00D546FF"/>
    <w:rsid w:val="00D55AD5"/>
    <w:rsid w:val="00D576CA"/>
    <w:rsid w:val="00D61AF5"/>
    <w:rsid w:val="00D62338"/>
    <w:rsid w:val="00D652B5"/>
    <w:rsid w:val="00D66155"/>
    <w:rsid w:val="00D708B0"/>
    <w:rsid w:val="00D7263D"/>
    <w:rsid w:val="00D735C7"/>
    <w:rsid w:val="00D77777"/>
    <w:rsid w:val="00D77B1D"/>
    <w:rsid w:val="00D8021F"/>
    <w:rsid w:val="00D80383"/>
    <w:rsid w:val="00D823C6"/>
    <w:rsid w:val="00D8327F"/>
    <w:rsid w:val="00D86024"/>
    <w:rsid w:val="00D86CA3"/>
    <w:rsid w:val="00D871CE"/>
    <w:rsid w:val="00D9101A"/>
    <w:rsid w:val="00D9196D"/>
    <w:rsid w:val="00D92982"/>
    <w:rsid w:val="00DA0D70"/>
    <w:rsid w:val="00DA22BD"/>
    <w:rsid w:val="00DA305E"/>
    <w:rsid w:val="00DA5124"/>
    <w:rsid w:val="00DA5417"/>
    <w:rsid w:val="00DA56E8"/>
    <w:rsid w:val="00DB0A9F"/>
    <w:rsid w:val="00DB2E49"/>
    <w:rsid w:val="00DB377D"/>
    <w:rsid w:val="00DB5786"/>
    <w:rsid w:val="00DC2D36"/>
    <w:rsid w:val="00DC3282"/>
    <w:rsid w:val="00DC53EF"/>
    <w:rsid w:val="00DD1AE9"/>
    <w:rsid w:val="00DD1D0C"/>
    <w:rsid w:val="00DD3EA6"/>
    <w:rsid w:val="00DE0DA9"/>
    <w:rsid w:val="00DE5608"/>
    <w:rsid w:val="00DE58D0"/>
    <w:rsid w:val="00DE654F"/>
    <w:rsid w:val="00DF0B6E"/>
    <w:rsid w:val="00DF0CE9"/>
    <w:rsid w:val="00DF139D"/>
    <w:rsid w:val="00DF15E0"/>
    <w:rsid w:val="00DF37A0"/>
    <w:rsid w:val="00DF66E1"/>
    <w:rsid w:val="00E110E7"/>
    <w:rsid w:val="00E1152B"/>
    <w:rsid w:val="00E11B20"/>
    <w:rsid w:val="00E156EB"/>
    <w:rsid w:val="00E17FA2"/>
    <w:rsid w:val="00E22330"/>
    <w:rsid w:val="00E26AA4"/>
    <w:rsid w:val="00E30395"/>
    <w:rsid w:val="00E30B5A"/>
    <w:rsid w:val="00E3123D"/>
    <w:rsid w:val="00E31461"/>
    <w:rsid w:val="00E31D43"/>
    <w:rsid w:val="00E32608"/>
    <w:rsid w:val="00E32DE9"/>
    <w:rsid w:val="00E330B3"/>
    <w:rsid w:val="00E34188"/>
    <w:rsid w:val="00E34B6E"/>
    <w:rsid w:val="00E35559"/>
    <w:rsid w:val="00E35B10"/>
    <w:rsid w:val="00E3723A"/>
    <w:rsid w:val="00E37860"/>
    <w:rsid w:val="00E446F1"/>
    <w:rsid w:val="00E46886"/>
    <w:rsid w:val="00E47AEF"/>
    <w:rsid w:val="00E53B75"/>
    <w:rsid w:val="00E54E3B"/>
    <w:rsid w:val="00E5688D"/>
    <w:rsid w:val="00E57565"/>
    <w:rsid w:val="00E60419"/>
    <w:rsid w:val="00E63838"/>
    <w:rsid w:val="00E64434"/>
    <w:rsid w:val="00E672F2"/>
    <w:rsid w:val="00E673D0"/>
    <w:rsid w:val="00E67C51"/>
    <w:rsid w:val="00E71C02"/>
    <w:rsid w:val="00E72EFC"/>
    <w:rsid w:val="00E73C71"/>
    <w:rsid w:val="00E74219"/>
    <w:rsid w:val="00E75120"/>
    <w:rsid w:val="00E758EC"/>
    <w:rsid w:val="00E76ABC"/>
    <w:rsid w:val="00E8234C"/>
    <w:rsid w:val="00E83AA9"/>
    <w:rsid w:val="00E85928"/>
    <w:rsid w:val="00E8665C"/>
    <w:rsid w:val="00E87822"/>
    <w:rsid w:val="00E90395"/>
    <w:rsid w:val="00E90E49"/>
    <w:rsid w:val="00E917F9"/>
    <w:rsid w:val="00E9291C"/>
    <w:rsid w:val="00E93FFE"/>
    <w:rsid w:val="00E94F8A"/>
    <w:rsid w:val="00EA7A41"/>
    <w:rsid w:val="00EB077B"/>
    <w:rsid w:val="00EB4EA2"/>
    <w:rsid w:val="00EB76AC"/>
    <w:rsid w:val="00EC24D5"/>
    <w:rsid w:val="00EC27C6"/>
    <w:rsid w:val="00EC386F"/>
    <w:rsid w:val="00EC4207"/>
    <w:rsid w:val="00EC5653"/>
    <w:rsid w:val="00EC57E1"/>
    <w:rsid w:val="00EC5AA4"/>
    <w:rsid w:val="00EC71CE"/>
    <w:rsid w:val="00ED1006"/>
    <w:rsid w:val="00ED1EFB"/>
    <w:rsid w:val="00ED2349"/>
    <w:rsid w:val="00ED4C6A"/>
    <w:rsid w:val="00ED507F"/>
    <w:rsid w:val="00EE35E9"/>
    <w:rsid w:val="00EE3B7A"/>
    <w:rsid w:val="00EE424A"/>
    <w:rsid w:val="00EF1618"/>
    <w:rsid w:val="00EF18FE"/>
    <w:rsid w:val="00EF5787"/>
    <w:rsid w:val="00EF60D0"/>
    <w:rsid w:val="00F0091E"/>
    <w:rsid w:val="00F028B3"/>
    <w:rsid w:val="00F02E11"/>
    <w:rsid w:val="00F03C1C"/>
    <w:rsid w:val="00F04A06"/>
    <w:rsid w:val="00F0528D"/>
    <w:rsid w:val="00F06C67"/>
    <w:rsid w:val="00F06DFD"/>
    <w:rsid w:val="00F071D1"/>
    <w:rsid w:val="00F07533"/>
    <w:rsid w:val="00F10629"/>
    <w:rsid w:val="00F13EB5"/>
    <w:rsid w:val="00F14DA2"/>
    <w:rsid w:val="00F15FA5"/>
    <w:rsid w:val="00F160F9"/>
    <w:rsid w:val="00F209B7"/>
    <w:rsid w:val="00F20F5C"/>
    <w:rsid w:val="00F2376F"/>
    <w:rsid w:val="00F243D8"/>
    <w:rsid w:val="00F24926"/>
    <w:rsid w:val="00F30828"/>
    <w:rsid w:val="00F31153"/>
    <w:rsid w:val="00F313D6"/>
    <w:rsid w:val="00F40F0C"/>
    <w:rsid w:val="00F47005"/>
    <w:rsid w:val="00F4766C"/>
    <w:rsid w:val="00F47D13"/>
    <w:rsid w:val="00F5060E"/>
    <w:rsid w:val="00F507D1"/>
    <w:rsid w:val="00F50E5E"/>
    <w:rsid w:val="00F519CE"/>
    <w:rsid w:val="00F51ADA"/>
    <w:rsid w:val="00F60203"/>
    <w:rsid w:val="00F607C5"/>
    <w:rsid w:val="00F60DEA"/>
    <w:rsid w:val="00F6302A"/>
    <w:rsid w:val="00F637C9"/>
    <w:rsid w:val="00F63950"/>
    <w:rsid w:val="00F64C2B"/>
    <w:rsid w:val="00F651BE"/>
    <w:rsid w:val="00F67F53"/>
    <w:rsid w:val="00F703BE"/>
    <w:rsid w:val="00F71F69"/>
    <w:rsid w:val="00F72B72"/>
    <w:rsid w:val="00F72BB5"/>
    <w:rsid w:val="00F74BB9"/>
    <w:rsid w:val="00F75582"/>
    <w:rsid w:val="00F76EFA"/>
    <w:rsid w:val="00F804BE"/>
    <w:rsid w:val="00F817CE"/>
    <w:rsid w:val="00F8456C"/>
    <w:rsid w:val="00F859D8"/>
    <w:rsid w:val="00F868F5"/>
    <w:rsid w:val="00F9056A"/>
    <w:rsid w:val="00F907FE"/>
    <w:rsid w:val="00F90F8D"/>
    <w:rsid w:val="00F91096"/>
    <w:rsid w:val="00F92782"/>
    <w:rsid w:val="00F93AA9"/>
    <w:rsid w:val="00F940AC"/>
    <w:rsid w:val="00F96985"/>
    <w:rsid w:val="00F97838"/>
    <w:rsid w:val="00FA2BB3"/>
    <w:rsid w:val="00FA435C"/>
    <w:rsid w:val="00FB0E7C"/>
    <w:rsid w:val="00FB2FAC"/>
    <w:rsid w:val="00FB4C80"/>
    <w:rsid w:val="00FB55E9"/>
    <w:rsid w:val="00FB5BB2"/>
    <w:rsid w:val="00FB6A6A"/>
    <w:rsid w:val="00FC3DB9"/>
    <w:rsid w:val="00FC3DED"/>
    <w:rsid w:val="00FC7429"/>
    <w:rsid w:val="00FC77A8"/>
    <w:rsid w:val="00FD0312"/>
    <w:rsid w:val="00FD07F6"/>
    <w:rsid w:val="00FD1EC8"/>
    <w:rsid w:val="00FD47ED"/>
    <w:rsid w:val="00FD5A51"/>
    <w:rsid w:val="00FD74DB"/>
    <w:rsid w:val="00FD7660"/>
    <w:rsid w:val="00FE0655"/>
    <w:rsid w:val="00FE21E6"/>
    <w:rsid w:val="00FE2365"/>
    <w:rsid w:val="00FE37D7"/>
    <w:rsid w:val="00FE4C7B"/>
    <w:rsid w:val="00FE517F"/>
    <w:rsid w:val="00FE7336"/>
    <w:rsid w:val="00FE787C"/>
    <w:rsid w:val="00FF0141"/>
    <w:rsid w:val="00FF225C"/>
    <w:rsid w:val="00FF45A5"/>
    <w:rsid w:val="00FF4948"/>
    <w:rsid w:val="00FF5247"/>
    <w:rsid w:val="00FF5BF2"/>
    <w:rsid w:val="00FF5C91"/>
    <w:rsid w:val="01D2464F"/>
    <w:rsid w:val="07692A55"/>
    <w:rsid w:val="1024372E"/>
    <w:rsid w:val="1374FB5D"/>
    <w:rsid w:val="1A1D8428"/>
    <w:rsid w:val="1A59B54B"/>
    <w:rsid w:val="25C12AAB"/>
    <w:rsid w:val="322FAF30"/>
    <w:rsid w:val="3458EFC3"/>
    <w:rsid w:val="34F32B51"/>
    <w:rsid w:val="3F26EB72"/>
    <w:rsid w:val="443E63D1"/>
    <w:rsid w:val="5217EF03"/>
    <w:rsid w:val="52611CA2"/>
    <w:rsid w:val="577A3188"/>
    <w:rsid w:val="5BF5C6F7"/>
    <w:rsid w:val="5F644AFF"/>
    <w:rsid w:val="669103A8"/>
    <w:rsid w:val="69C170F0"/>
    <w:rsid w:val="6C1B2D5A"/>
    <w:rsid w:val="7061DF20"/>
    <w:rsid w:val="70A6D60F"/>
    <w:rsid w:val="7BD3D9E2"/>
    <w:rsid w:val="7F524D1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C668B3FE-0C52-47D1-9DEC-FEFA80374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24A"/>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FC3DED"/>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Comments">
    <w:name w:val="Comments"/>
    <w:basedOn w:val="Normal"/>
    <w:link w:val="CommentsChar"/>
    <w:qFormat/>
    <w:rsid w:val="004A3BC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4A3BC9"/>
    <w:rPr>
      <w:rFonts w:ascii="Arial" w:eastAsia="MS Mincho" w:hAnsi="Arial"/>
      <w:i/>
      <w:noProof/>
      <w:sz w:val="18"/>
      <w:szCs w:val="24"/>
    </w:rPr>
  </w:style>
  <w:style w:type="character" w:customStyle="1" w:styleId="IvDInstructiontextChar">
    <w:name w:val="IvD Instructiontext Char"/>
    <w:link w:val="IvDInstructiontext"/>
    <w:uiPriority w:val="99"/>
    <w:locked/>
    <w:rsid w:val="00A5768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A5768B"/>
    <w:rPr>
      <w:rFonts w:ascii="Arial" w:hAnsi="Arial" w:cs="Arial"/>
      <w:spacing w:val="2"/>
    </w:rPr>
  </w:style>
  <w:style w:type="paragraph" w:customStyle="1" w:styleId="IvDbodytext">
    <w:name w:val="IvD bodytext"/>
    <w:basedOn w:val="BodyText"/>
    <w:link w:val="IvDbodytextChar"/>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character" w:styleId="Mention">
    <w:name w:val="Mention"/>
    <w:basedOn w:val="DefaultParagraphFont"/>
    <w:uiPriority w:val="99"/>
    <w:unhideWhenUsed/>
    <w:rsid w:val="007F3814"/>
    <w:rPr>
      <w:color w:val="2B579A"/>
      <w:shd w:val="clear" w:color="auto" w:fill="E1DFDD"/>
    </w:rPr>
  </w:style>
  <w:style w:type="paragraph" w:styleId="Revision">
    <w:name w:val="Revision"/>
    <w:hidden/>
    <w:uiPriority w:val="99"/>
    <w:semiHidden/>
    <w:rsid w:val="009E77C2"/>
    <w:rPr>
      <w:rFonts w:ascii="Times New Roman" w:hAnsi="Times New Roman"/>
      <w:lang w:eastAsia="ja-JP"/>
    </w:rPr>
  </w:style>
  <w:style w:type="paragraph" w:customStyle="1" w:styleId="Agreement">
    <w:name w:val="Agreement"/>
    <w:basedOn w:val="Normal"/>
    <w:next w:val="Doc-text2"/>
    <w:qFormat/>
    <w:rsid w:val="008B20D4"/>
    <w:pPr>
      <w:numPr>
        <w:numId w:val="36"/>
      </w:numPr>
      <w:overflowPunct/>
      <w:autoSpaceDE/>
      <w:autoSpaceDN/>
      <w:adjustRightInd/>
      <w:spacing w:before="60" w:after="0"/>
      <w:textAlignment w:val="auto"/>
    </w:pPr>
    <w:rPr>
      <w:rFonts w:ascii="Arial" w:eastAsia="MS Mincho" w:hAnsi="Arial"/>
      <w:b/>
      <w:szCs w:val="24"/>
      <w:lang w:eastAsia="en-GB"/>
    </w:rPr>
  </w:style>
  <w:style w:type="paragraph" w:customStyle="1" w:styleId="Instructiontext">
    <w:name w:val="Instruction text"/>
    <w:basedOn w:val="BodyText"/>
    <w:link w:val="InstructiontextChar"/>
    <w:uiPriority w:val="99"/>
    <w:qFormat/>
    <w:rsid w:val="0080626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80626A"/>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626283">
      <w:bodyDiv w:val="1"/>
      <w:marLeft w:val="0"/>
      <w:marRight w:val="0"/>
      <w:marTop w:val="0"/>
      <w:marBottom w:val="0"/>
      <w:divBdr>
        <w:top w:val="none" w:sz="0" w:space="0" w:color="auto"/>
        <w:left w:val="none" w:sz="0" w:space="0" w:color="auto"/>
        <w:bottom w:val="none" w:sz="0" w:space="0" w:color="auto"/>
        <w:right w:val="none" w:sz="0" w:space="0" w:color="auto"/>
      </w:divBdr>
    </w:div>
    <w:div w:id="1014460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TSG_RAN/TSGR_96/Docs/%0dRP-221815.zip"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WG2_Arch/TSGS2_154_Toulouse_2022-11/Docs/%0dS2-2211437.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documenttasks/documenttasks1.xml><?xml version="1.0" encoding="utf-8"?>
<t:Tasks xmlns:t="http://schemas.microsoft.com/office/tasks/2019/documenttasks" xmlns:oel="http://schemas.microsoft.com/office/2019/extlst">
  <t:Task id="{4E3065A7-78C5-440C-B794-9430EA00A75C}">
    <t:Anchor>
      <t:Comment id="647586726"/>
    </t:Anchor>
    <t:History>
      <t:Event id="{412D9E4F-4A74-4D76-8B4B-8941B60AE3A0}" time="2022-08-07T13:27:13.941Z">
        <t:Attribution userId="S::filip.barac@ericsson.com::d01b6925-bf8b-447c-8a69-6fea306b4349" userProvider="AD" userName="Filip Barac"/>
        <t:Anchor>
          <t:Comment id="1342754282"/>
        </t:Anchor>
        <t:Create/>
      </t:Event>
      <t:Event id="{8A3C2F29-D7A9-4EF0-9E0A-29F3A518301D}" time="2022-08-07T13:27:13.941Z">
        <t:Attribution userId="S::filip.barac@ericsson.com::d01b6925-bf8b-447c-8a69-6fea306b4349" userProvider="AD" userName="Filip Barac"/>
        <t:Anchor>
          <t:Comment id="1342754282"/>
        </t:Anchor>
        <t:Assign userId="S::ritesh.shreevastav@ericsson.com::f93dee3d-be4f-412a-8c5f-30ec04b37dfb" userProvider="AD" userName="Ritesh Shreevastav"/>
      </t:Event>
      <t:Event id="{89EC20E2-565C-4648-9528-6901B66E0523}" time="2022-08-07T13:27:13.941Z">
        <t:Attribution userId="S::filip.barac@ericsson.com::d01b6925-bf8b-447c-8a69-6fea306b4349" userProvider="AD" userName="Filip Barac"/>
        <t:Anchor>
          <t:Comment id="1342754282"/>
        </t:Anchor>
        <t:SetTitle title="@Ritesh Shreevastav could youy please describe our solution? I had that family emergency in June so I did not have the chance to review and contribute to that ivd"/>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33727F93-7C5F-4D2C-B82F-05AB3E2C1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191</TotalTime>
  <Pages>5</Pages>
  <Words>2027</Words>
  <Characters>11555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13555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Ritesh</cp:lastModifiedBy>
  <cp:revision>154</cp:revision>
  <cp:lastPrinted>2008-02-01T10:09:00Z</cp:lastPrinted>
  <dcterms:created xsi:type="dcterms:W3CDTF">2022-09-29T00:31:00Z</dcterms:created>
  <dcterms:modified xsi:type="dcterms:W3CDTF">2023-02-16T17:37:00Z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